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7D18CB78" w:rsidR="007A6612" w:rsidRPr="00446F9D" w:rsidRDefault="007A6612" w:rsidP="007A6612">
      <w:pPr>
        <w:pStyle w:val="Header"/>
        <w:tabs>
          <w:tab w:val="clear" w:pos="4536"/>
        </w:tabs>
        <w:rPr>
          <w:i/>
        </w:rPr>
      </w:pPr>
      <w:r w:rsidRPr="00446F9D">
        <w:t xml:space="preserve">TSG-RAN WG1 </w:t>
      </w:r>
      <w:r w:rsidR="005D1F07">
        <w:t>#9</w:t>
      </w:r>
      <w:r w:rsidR="003D50BB">
        <w:t>4</w:t>
      </w:r>
      <w:r w:rsidRPr="00446F9D">
        <w:tab/>
      </w:r>
      <w:r w:rsidR="00A5442C" w:rsidRPr="00A5442C">
        <w:t>R1-18</w:t>
      </w:r>
      <w:r w:rsidR="004625C8">
        <w:t>09839</w:t>
      </w:r>
      <w:bookmarkStart w:id="0" w:name="_GoBack"/>
      <w:bookmarkEnd w:id="0"/>
    </w:p>
    <w:p w14:paraId="57C270FC" w14:textId="77777777" w:rsidR="00E658DA" w:rsidRPr="000833FA" w:rsidRDefault="003D50BB" w:rsidP="00E658DA">
      <w:pPr>
        <w:pStyle w:val="Header"/>
        <w:rPr>
          <w:color w:val="000000"/>
        </w:rPr>
      </w:pPr>
      <w:r>
        <w:t>Gothenburg, Sweden, August 20 – 24,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2B454F35" w:rsidR="00F618ED" w:rsidRPr="00E220C0" w:rsidRDefault="00F618ED" w:rsidP="00F618ED">
      <w:pPr>
        <w:pStyle w:val="Header"/>
        <w:tabs>
          <w:tab w:val="clear" w:pos="4536"/>
          <w:tab w:val="left" w:pos="1800"/>
        </w:tabs>
      </w:pPr>
      <w:r w:rsidRPr="0003368D">
        <w:t>Title:</w:t>
      </w:r>
      <w:bookmarkStart w:id="1" w:name="Title"/>
      <w:bookmarkEnd w:id="1"/>
      <w:r w:rsidRPr="0003368D">
        <w:tab/>
      </w:r>
      <w:r w:rsidR="001E216C">
        <w:t xml:space="preserve">Outcome of offline discussion on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3056E68E" w14:textId="77777777" w:rsidR="001E216C" w:rsidRDefault="001E216C" w:rsidP="001E216C">
      <w:pPr>
        <w:pStyle w:val="Heading1"/>
        <w:rPr>
          <w:szCs w:val="28"/>
        </w:rPr>
      </w:pPr>
      <w:r>
        <w:t>DCI size budget</w:t>
      </w:r>
    </w:p>
    <w:p w14:paraId="3B814144" w14:textId="0B993BC1" w:rsidR="00545DAE" w:rsidRDefault="00545DAE" w:rsidP="001E216C">
      <w:pPr>
        <w:pStyle w:val="BodyText"/>
        <w:rPr>
          <w:szCs w:val="20"/>
        </w:rPr>
      </w:pPr>
      <w:r>
        <w:rPr>
          <w:szCs w:val="20"/>
        </w:rPr>
        <w:t>From RAN1#94:</w:t>
      </w:r>
    </w:p>
    <w:p w14:paraId="1096187C" w14:textId="6B150430" w:rsidR="00545DAE" w:rsidRDefault="00545DAE" w:rsidP="001E216C">
      <w:pPr>
        <w:pStyle w:val="BodyText"/>
        <w:rPr>
          <w:szCs w:val="20"/>
        </w:rPr>
      </w:pPr>
      <w:r w:rsidRPr="00545DAE">
        <w:rPr>
          <w:noProof/>
          <w:szCs w:val="20"/>
        </w:rPr>
        <mc:AlternateContent>
          <mc:Choice Requires="wps">
            <w:drawing>
              <wp:inline distT="0" distB="0" distL="0" distR="0" wp14:anchorId="204E8725" wp14:editId="1422B103">
                <wp:extent cx="5772150" cy="1404620"/>
                <wp:effectExtent l="0" t="0" r="19050" b="2413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404620"/>
                        </a:xfrm>
                        <a:prstGeom prst="rect">
                          <a:avLst/>
                        </a:prstGeom>
                        <a:solidFill>
                          <a:srgbClr val="FFFFFF"/>
                        </a:solidFill>
                        <a:ln w="9525">
                          <a:solidFill>
                            <a:srgbClr val="000000"/>
                          </a:solidFill>
                          <a:miter lim="800000"/>
                          <a:headEnd/>
                          <a:tailEnd/>
                        </a:ln>
                      </wps:spPr>
                      <wps:txbx>
                        <w:txbxContent>
                          <w:p w14:paraId="60F7156D" w14:textId="77777777" w:rsidR="00545DAE" w:rsidRPr="00C34825" w:rsidRDefault="00545DAE" w:rsidP="00545DAE">
                            <w:pPr>
                              <w:rPr>
                                <w:szCs w:val="20"/>
                              </w:rPr>
                            </w:pPr>
                            <w:r w:rsidRPr="00C34825">
                              <w:rPr>
                                <w:szCs w:val="20"/>
                                <w:highlight w:val="green"/>
                              </w:rPr>
                              <w:t>Agreements</w:t>
                            </w:r>
                            <w:r w:rsidRPr="00C34825">
                              <w:rPr>
                                <w:szCs w:val="20"/>
                              </w:rPr>
                              <w:t>:</w:t>
                            </w:r>
                          </w:p>
                          <w:p w14:paraId="01FDDE27" w14:textId="77777777" w:rsidR="00545DAE" w:rsidRPr="00C34825" w:rsidRDefault="00545DAE" w:rsidP="00545DAE">
                            <w:pPr>
                              <w:numPr>
                                <w:ilvl w:val="0"/>
                                <w:numId w:val="43"/>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t>
                            </w:r>
                            <w:proofErr w:type="gramStart"/>
                            <w:r w:rsidRPr="00C34825">
                              <w:rPr>
                                <w:szCs w:val="20"/>
                                <w:lang w:eastAsia="ja-JP"/>
                              </w:rPr>
                              <w:t>whether or not</w:t>
                            </w:r>
                            <w:proofErr w:type="gramEnd"/>
                            <w:r w:rsidRPr="00C34825">
                              <w:rPr>
                                <w:szCs w:val="20"/>
                                <w:lang w:eastAsia="ja-JP"/>
                              </w:rPr>
                              <w:t xml:space="preserve"> a PDCCH decoding candidate is dropped, e.g., due to collision with other channels/signals)</w:t>
                            </w:r>
                          </w:p>
                          <w:p w14:paraId="034032B2" w14:textId="77777777" w:rsidR="00545DAE" w:rsidRPr="00C34825" w:rsidRDefault="00545DAE" w:rsidP="00545DAE">
                            <w:pPr>
                              <w:numPr>
                                <w:ilvl w:val="1"/>
                                <w:numId w:val="43"/>
                              </w:numPr>
                              <w:rPr>
                                <w:szCs w:val="20"/>
                              </w:rPr>
                            </w:pPr>
                            <w:r w:rsidRPr="00C34825">
                              <w:rPr>
                                <w:szCs w:val="20"/>
                              </w:rPr>
                              <w:t>Check further offline on potential spec impact</w:t>
                            </w:r>
                          </w:p>
                          <w:p w14:paraId="1CA7C3F3" w14:textId="3B485524" w:rsidR="00545DAE" w:rsidRDefault="00545DAE"/>
                        </w:txbxContent>
                      </wps:txbx>
                      <wps:bodyPr rot="0" vert="horz" wrap="square" lIns="91440" tIns="45720" rIns="91440" bIns="45720" anchor="t" anchorCtr="0">
                        <a:spAutoFit/>
                      </wps:bodyPr>
                    </wps:wsp>
                  </a:graphicData>
                </a:graphic>
              </wp:inline>
            </w:drawing>
          </mc:Choice>
          <mc:Fallback>
            <w:pict>
              <v:shapetype w14:anchorId="204E8725" id="_x0000_t202" coordsize="21600,21600" o:spt="202" path="m,l,21600r21600,l21600,xe">
                <v:stroke joinstyle="miter"/>
                <v:path gradientshapeok="t" o:connecttype="rect"/>
              </v:shapetype>
              <v:shape id="Text Box 2" o:spid="_x0000_s1026" type="#_x0000_t202" style="width:4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">
                <v:textbox style="mso-fit-shape-to-text:t">
                  <w:txbxContent>
                    <w:p w14:paraId="60F7156D" w14:textId="77777777" w:rsidR="00545DAE" w:rsidRPr="00C34825" w:rsidRDefault="00545DAE" w:rsidP="00545DAE">
                      <w:pPr>
                        <w:rPr>
                          <w:szCs w:val="20"/>
                        </w:rPr>
                      </w:pPr>
                      <w:r w:rsidRPr="00C34825">
                        <w:rPr>
                          <w:szCs w:val="20"/>
                          <w:highlight w:val="green"/>
                        </w:rPr>
                        <w:t>Agreements</w:t>
                      </w:r>
                      <w:r w:rsidRPr="00C34825">
                        <w:rPr>
                          <w:szCs w:val="20"/>
                        </w:rPr>
                        <w:t>:</w:t>
                      </w:r>
                    </w:p>
                    <w:p w14:paraId="01FDDE27" w14:textId="77777777" w:rsidR="00545DAE" w:rsidRPr="00C34825" w:rsidRDefault="00545DAE" w:rsidP="00545DAE">
                      <w:pPr>
                        <w:numPr>
                          <w:ilvl w:val="0"/>
                          <w:numId w:val="43"/>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t>
                      </w:r>
                      <w:proofErr w:type="gramStart"/>
                      <w:r w:rsidRPr="00C34825">
                        <w:rPr>
                          <w:szCs w:val="20"/>
                          <w:lang w:eastAsia="ja-JP"/>
                        </w:rPr>
                        <w:t>whether or not</w:t>
                      </w:r>
                      <w:proofErr w:type="gramEnd"/>
                      <w:r w:rsidRPr="00C34825">
                        <w:rPr>
                          <w:szCs w:val="20"/>
                          <w:lang w:eastAsia="ja-JP"/>
                        </w:rPr>
                        <w:t xml:space="preserve"> a PDCCH decoding candidate is dropped, e.g., due to collision with other channels/signals)</w:t>
                      </w:r>
                    </w:p>
                    <w:p w14:paraId="034032B2" w14:textId="77777777" w:rsidR="00545DAE" w:rsidRPr="00C34825" w:rsidRDefault="00545DAE" w:rsidP="00545DAE">
                      <w:pPr>
                        <w:numPr>
                          <w:ilvl w:val="1"/>
                          <w:numId w:val="43"/>
                        </w:numPr>
                        <w:rPr>
                          <w:szCs w:val="20"/>
                        </w:rPr>
                      </w:pPr>
                      <w:r w:rsidRPr="00C34825">
                        <w:rPr>
                          <w:szCs w:val="20"/>
                        </w:rPr>
                        <w:t>Check further offline on potential spec impact</w:t>
                      </w:r>
                    </w:p>
                    <w:p w14:paraId="1CA7C3F3" w14:textId="3B485524" w:rsidR="00545DAE" w:rsidRDefault="00545DAE"/>
                  </w:txbxContent>
                </v:textbox>
                <w10:anchorlock/>
              </v:shape>
            </w:pict>
          </mc:Fallback>
        </mc:AlternateContent>
      </w:r>
    </w:p>
    <w:p w14:paraId="4E6F63F7" w14:textId="0B2FB05C" w:rsidR="009C6888" w:rsidRDefault="009C6888" w:rsidP="001E216C">
      <w:pPr>
        <w:pStyle w:val="BodyText"/>
        <w:rPr>
          <w:szCs w:val="20"/>
        </w:rPr>
      </w:pPr>
      <w:r>
        <w:rPr>
          <w:szCs w:val="20"/>
        </w:rPr>
        <w:t>However, the DCI sizes are not covered by the above agreement (which was missed when presenting the DCI summary).</w:t>
      </w:r>
    </w:p>
    <w:p w14:paraId="06636B6D" w14:textId="70A2BA34" w:rsidR="00545DAE" w:rsidRDefault="000F6AE7" w:rsidP="00545DAE">
      <w:pPr>
        <w:pStyle w:val="BodyText"/>
        <w:rPr>
          <w:szCs w:val="20"/>
        </w:rPr>
      </w:pPr>
      <w:r>
        <w:rPr>
          <w:b/>
          <w:szCs w:val="20"/>
        </w:rPr>
        <w:t>Offline agreement</w:t>
      </w:r>
      <w:r w:rsidR="001E216C" w:rsidRPr="00545DAE">
        <w:rPr>
          <w:szCs w:val="20"/>
        </w:rPr>
        <w:t xml:space="preserve">: </w:t>
      </w:r>
      <w:r>
        <w:rPr>
          <w:szCs w:val="20"/>
        </w:rPr>
        <w:t xml:space="preserve">The </w:t>
      </w:r>
      <w:r w:rsidR="001E216C" w:rsidRPr="00545DAE">
        <w:rPr>
          <w:szCs w:val="20"/>
        </w:rPr>
        <w:t xml:space="preserve">UE counts the number of DCI sizes across slots based on RRC configuration for PDCCH, without </w:t>
      </w:r>
      <w:proofErr w:type="gramStart"/>
      <w:r w:rsidR="001E216C" w:rsidRPr="00545DAE">
        <w:rPr>
          <w:szCs w:val="20"/>
        </w:rPr>
        <w:t>taking into account</w:t>
      </w:r>
      <w:proofErr w:type="gramEnd"/>
      <w:r w:rsidR="001E216C" w:rsidRPr="00545DAE">
        <w:rPr>
          <w:szCs w:val="20"/>
        </w:rPr>
        <w:t xml:space="preserve"> PDCCH candidate dropping by overbooking handling.</w:t>
      </w:r>
    </w:p>
    <w:p w14:paraId="365C7B2D" w14:textId="77777777" w:rsidR="00545DAE" w:rsidRPr="001E216C" w:rsidRDefault="00545DAE" w:rsidP="00545DAE">
      <w:pPr>
        <w:pStyle w:val="Heading1"/>
      </w:pPr>
      <w:r w:rsidRPr="001E216C">
        <w:t xml:space="preserve">Editorial TP (R1-1809392, section 3, including TPs for 38.214) </w:t>
      </w:r>
    </w:p>
    <w:p w14:paraId="14EE4CBC" w14:textId="4B77A813" w:rsidR="00545DAE" w:rsidRDefault="00545DAE" w:rsidP="00545DAE">
      <w:pPr>
        <w:jc w:val="both"/>
      </w:pPr>
      <w:r>
        <w:t>To accurately capture the intention of the agreements for DL and UL frequency resource allocation:</w:t>
      </w:r>
    </w:p>
    <w:p w14:paraId="1502848B" w14:textId="77777777" w:rsidR="00545DAE" w:rsidRDefault="00545DAE" w:rsidP="00545DAE">
      <w:pPr>
        <w:numPr>
          <w:ilvl w:val="0"/>
          <w:numId w:val="31"/>
        </w:numPr>
        <w:spacing w:after="160" w:line="259" w:lineRule="auto"/>
        <w:jc w:val="both"/>
      </w:pPr>
      <w:r>
        <w:t>Clarify that the initial DL/UL BWP is not actually used for format 1_0/0_0 in CSS. Instead, only the size of the initial BWP is used to interpret RIV.</w:t>
      </w:r>
    </w:p>
    <w:p w14:paraId="1CA37D79" w14:textId="0159A7BD" w:rsidR="00545DAE" w:rsidRDefault="00545DAE" w:rsidP="00545DAE">
      <w:pPr>
        <w:numPr>
          <w:ilvl w:val="0"/>
          <w:numId w:val="31"/>
        </w:numPr>
        <w:spacing w:after="160" w:line="259" w:lineRule="auto"/>
        <w:jc w:val="both"/>
      </w:pPr>
      <w:r>
        <w:t>Clarify that the size of the initial BWP is used for format 1_0/0_0 in any CSS, regardless of the CORESET or type of the CSS.</w:t>
      </w:r>
    </w:p>
    <w:p w14:paraId="6784BEEC" w14:textId="19F40DE8" w:rsidR="00D82985" w:rsidRDefault="00D82985" w:rsidP="00D82985">
      <w:pPr>
        <w:spacing w:after="160" w:line="259" w:lineRule="auto"/>
        <w:jc w:val="both"/>
      </w:pPr>
      <w:r>
        <w:t>From RAN1#94:</w:t>
      </w:r>
    </w:p>
    <w:p w14:paraId="42C62BD0" w14:textId="5206C269" w:rsidR="00D82985" w:rsidRDefault="00D82985" w:rsidP="00D82985">
      <w:pPr>
        <w:spacing w:after="160" w:line="259" w:lineRule="auto"/>
        <w:jc w:val="both"/>
      </w:pPr>
      <w:r>
        <w:rPr>
          <w:noProof/>
        </w:rPr>
        <mc:AlternateContent>
          <mc:Choice Requires="wps">
            <w:drawing>
              <wp:inline distT="0" distB="0" distL="0" distR="0" wp14:anchorId="685D1201" wp14:editId="0674AF5E">
                <wp:extent cx="5819775" cy="1404620"/>
                <wp:effectExtent l="0" t="0" r="28575" b="1714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1D1FCBB" w14:textId="43313E87" w:rsidR="00D82985" w:rsidRPr="00DB517C" w:rsidRDefault="00D82985" w:rsidP="00D82985">
                            <w:pPr>
                              <w:rPr>
                                <w:highlight w:val="yellow"/>
                              </w:rPr>
                            </w:pPr>
                            <w:r w:rsidRPr="00DB517C">
                              <w:rPr>
                                <w:highlight w:val="yellow"/>
                              </w:rPr>
                              <w:t>Proposals:</w:t>
                            </w:r>
                          </w:p>
                          <w:p w14:paraId="2FD96089" w14:textId="77777777" w:rsidR="00D82985" w:rsidRPr="00DB517C" w:rsidRDefault="00D82985" w:rsidP="00D82985">
                            <w:pPr>
                              <w:numPr>
                                <w:ilvl w:val="0"/>
                                <w:numId w:val="45"/>
                              </w:numPr>
                              <w:rPr>
                                <w:highlight w:val="yellow"/>
                              </w:rPr>
                            </w:pPr>
                            <w:r w:rsidRPr="00DB517C">
                              <w:rPr>
                                <w:highlight w:val="yellow"/>
                              </w:rPr>
                              <w:t>To adopt the following TP to section 5.1.2.2.2 of 38.214:</w:t>
                            </w:r>
                          </w:p>
                          <w:p w14:paraId="41593000" w14:textId="77777777" w:rsidR="00D82985" w:rsidRPr="00234383" w:rsidRDefault="00D82985" w:rsidP="00D82985">
                            <w:pPr>
                              <w:rPr>
                                <w:rFonts w:eastAsia="Malgun Gothic"/>
                                <w:color w:val="000000"/>
                                <w:lang w:eastAsia="en-GB"/>
                              </w:rPr>
                            </w:pPr>
                            <w:r w:rsidRPr="00DB517C">
                              <w:rPr>
                                <w:rFonts w:eastAsia="Malgun Gothic"/>
                                <w:color w:val="000000"/>
                                <w:highlight w:val="yellow"/>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DB517C">
                              <w:rPr>
                                <w:rFonts w:eastAsia="Malgun Gothic"/>
                                <w:color w:val="000000"/>
                                <w:position w:val="-10"/>
                                <w:highlight w:val="yellow"/>
                              </w:rPr>
                              <w:object w:dxaOrig="540" w:dyaOrig="340" w14:anchorId="4117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17.25pt" o:ole="">
                                  <v:imagedata r:id="rId8" o:title=""/>
                                </v:shape>
                                <o:OLEObject Type="Embed" ProgID="Equation.3" ShapeID="_x0000_i1026" DrawAspect="Content" ObjectID="_1596455626" r:id="rId9"/>
                              </w:object>
                            </w:r>
                            <w:r w:rsidRPr="00DB517C">
                              <w:rPr>
                                <w:rFonts w:eastAsia="Malgun Gothic"/>
                                <w:color w:val="000000"/>
                                <w:highlight w:val="yellow"/>
                              </w:rPr>
                              <w:t xml:space="preserve"> PRBs except for the case when DCI format 1_0 is decoded in any common search space </w:t>
                            </w:r>
                            <w:r w:rsidRPr="00DB517C">
                              <w:rPr>
                                <w:rFonts w:eastAsia="Malgun Gothic"/>
                                <w:strike/>
                                <w:color w:val="FF0000"/>
                                <w:highlight w:val="yellow"/>
                              </w:rPr>
                              <w:t>in CORESET 0</w:t>
                            </w:r>
                            <w:r w:rsidRPr="00DB517C">
                              <w:rPr>
                                <w:rFonts w:eastAsia="Malgun Gothic"/>
                                <w:color w:val="000000"/>
                                <w:highlight w:val="yellow"/>
                              </w:rPr>
                              <w:t xml:space="preserve"> in which case the </w:t>
                            </w:r>
                            <w:r w:rsidRPr="00DB517C">
                              <w:rPr>
                                <w:rFonts w:eastAsia="Malgun Gothic"/>
                                <w:strike/>
                                <w:color w:val="FF0000"/>
                                <w:highlight w:val="yellow"/>
                              </w:rPr>
                              <w:t>initial bandwidth part of</w:t>
                            </w:r>
                            <w:r w:rsidRPr="00DB517C">
                              <w:rPr>
                                <w:rFonts w:eastAsia="Malgun Gothic"/>
                                <w:color w:val="000000"/>
                                <w:highlight w:val="yellow"/>
                              </w:rPr>
                              <w:t xml:space="preserve"> size </w:t>
                            </w:r>
                            <w:r w:rsidRPr="00DB517C">
                              <w:rPr>
                                <w:rFonts w:eastAsia="Malgun Gothic"/>
                                <w:color w:val="FF0000"/>
                                <w:highlight w:val="yellow"/>
                                <w:u w:val="single"/>
                              </w:rPr>
                              <w:t>of the BWP</w:t>
                            </w:r>
                            <w:r w:rsidRPr="00DB517C">
                              <w:rPr>
                                <w:rFonts w:eastAsia="Malgun Gothic"/>
                                <w:strike/>
                                <w:color w:val="FF0000"/>
                                <w:position w:val="-12"/>
                                <w:highlight w:val="yellow"/>
                              </w:rPr>
                              <w:object w:dxaOrig="560" w:dyaOrig="340" w14:anchorId="3E75A1EE">
                                <v:shape id="_x0000_i1028" type="#_x0000_t75" style="width:28.5pt;height:18pt" o:ole="">
                                  <v:imagedata r:id="rId10" o:title=""/>
                                </v:shape>
                                <o:OLEObject Type="Embed" ProgID="Equation.DSMT4" ShapeID="_x0000_i1028" DrawAspect="Content" ObjectID="_1596455627" r:id="rId11"/>
                              </w:object>
                            </w:r>
                            <w:r w:rsidRPr="00DB517C">
                              <w:rPr>
                                <w:rFonts w:eastAsia="Malgun Gothic"/>
                                <w:color w:val="000000"/>
                                <w:highlight w:val="yellow"/>
                              </w:rPr>
                              <w:t xml:space="preserve"> shall be used.</w:t>
                            </w:r>
                          </w:p>
                          <w:p w14:paraId="478B9CAF" w14:textId="70E95A11" w:rsidR="00D82985" w:rsidRDefault="00D82985"/>
                        </w:txbxContent>
                      </wps:txbx>
                      <wps:bodyPr rot="0" vert="horz" wrap="square" lIns="91440" tIns="45720" rIns="91440" bIns="45720" anchor="t" anchorCtr="0">
                        <a:spAutoFit/>
                      </wps:bodyPr>
                    </wps:wsp>
                  </a:graphicData>
                </a:graphic>
              </wp:inline>
            </w:drawing>
          </mc:Choice>
          <mc:Fallback>
            <w:pict>
              <v:shape w14:anchorId="685D1201" id="_x0000_s1027" type="#_x0000_t202" style="width:45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">
                <v:textbox style="mso-fit-shape-to-text:t">
                  <w:txbxContent>
                    <w:p w14:paraId="41D1FCBB" w14:textId="43313E87" w:rsidR="00D82985" w:rsidRPr="00DB517C" w:rsidRDefault="00D82985" w:rsidP="00D82985">
                      <w:pPr>
                        <w:rPr>
                          <w:highlight w:val="yellow"/>
                        </w:rPr>
                      </w:pPr>
                      <w:r w:rsidRPr="00DB517C">
                        <w:rPr>
                          <w:highlight w:val="yellow"/>
                        </w:rPr>
                        <w:t>Proposals:</w:t>
                      </w:r>
                    </w:p>
                    <w:p w14:paraId="2FD96089" w14:textId="77777777" w:rsidR="00D82985" w:rsidRPr="00DB517C" w:rsidRDefault="00D82985" w:rsidP="00D82985">
                      <w:pPr>
                        <w:numPr>
                          <w:ilvl w:val="0"/>
                          <w:numId w:val="45"/>
                        </w:numPr>
                        <w:rPr>
                          <w:highlight w:val="yellow"/>
                        </w:rPr>
                      </w:pPr>
                      <w:r w:rsidRPr="00DB517C">
                        <w:rPr>
                          <w:highlight w:val="yellow"/>
                        </w:rPr>
                        <w:t>To adopt the following TP to section 5.1.2.2.2 of 38.214:</w:t>
                      </w:r>
                    </w:p>
                    <w:p w14:paraId="41593000" w14:textId="77777777" w:rsidR="00D82985" w:rsidRPr="00234383" w:rsidRDefault="00D82985" w:rsidP="00D82985">
                      <w:pPr>
                        <w:rPr>
                          <w:rFonts w:eastAsia="Malgun Gothic"/>
                          <w:color w:val="000000"/>
                          <w:lang w:eastAsia="en-GB"/>
                        </w:rPr>
                      </w:pPr>
                      <w:r w:rsidRPr="00DB517C">
                        <w:rPr>
                          <w:rFonts w:eastAsia="Malgun Gothic"/>
                          <w:color w:val="000000"/>
                          <w:highlight w:val="yellow"/>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DB517C">
                        <w:rPr>
                          <w:rFonts w:eastAsia="Malgun Gothic"/>
                          <w:color w:val="000000"/>
                          <w:position w:val="-10"/>
                          <w:highlight w:val="yellow"/>
                        </w:rPr>
                        <w:object w:dxaOrig="540" w:dyaOrig="340" w14:anchorId="411785D2">
                          <v:shape id="_x0000_i1026" type="#_x0000_t75" style="width:27.75pt;height:17.25pt" o:ole="">
                            <v:imagedata r:id="rId8" o:title=""/>
                          </v:shape>
                          <o:OLEObject Type="Embed" ProgID="Equation.3" ShapeID="_x0000_i1026" DrawAspect="Content" ObjectID="_1596455626" r:id="rId12"/>
                        </w:object>
                      </w:r>
                      <w:r w:rsidRPr="00DB517C">
                        <w:rPr>
                          <w:rFonts w:eastAsia="Malgun Gothic"/>
                          <w:color w:val="000000"/>
                          <w:highlight w:val="yellow"/>
                        </w:rPr>
                        <w:t xml:space="preserve"> PRBs except for the case when DCI format 1_0 is decoded in any common search space </w:t>
                      </w:r>
                      <w:r w:rsidRPr="00DB517C">
                        <w:rPr>
                          <w:rFonts w:eastAsia="Malgun Gothic"/>
                          <w:strike/>
                          <w:color w:val="FF0000"/>
                          <w:highlight w:val="yellow"/>
                        </w:rPr>
                        <w:t>in CORESET 0</w:t>
                      </w:r>
                      <w:r w:rsidRPr="00DB517C">
                        <w:rPr>
                          <w:rFonts w:eastAsia="Malgun Gothic"/>
                          <w:color w:val="000000"/>
                          <w:highlight w:val="yellow"/>
                        </w:rPr>
                        <w:t xml:space="preserve"> in which case the </w:t>
                      </w:r>
                      <w:r w:rsidRPr="00DB517C">
                        <w:rPr>
                          <w:rFonts w:eastAsia="Malgun Gothic"/>
                          <w:strike/>
                          <w:color w:val="FF0000"/>
                          <w:highlight w:val="yellow"/>
                        </w:rPr>
                        <w:t>initial bandwidth part of</w:t>
                      </w:r>
                      <w:r w:rsidRPr="00DB517C">
                        <w:rPr>
                          <w:rFonts w:eastAsia="Malgun Gothic"/>
                          <w:color w:val="000000"/>
                          <w:highlight w:val="yellow"/>
                        </w:rPr>
                        <w:t xml:space="preserve"> size </w:t>
                      </w:r>
                      <w:r w:rsidRPr="00DB517C">
                        <w:rPr>
                          <w:rFonts w:eastAsia="Malgun Gothic"/>
                          <w:color w:val="FF0000"/>
                          <w:highlight w:val="yellow"/>
                          <w:u w:val="single"/>
                        </w:rPr>
                        <w:t>of the BWP</w:t>
                      </w:r>
                      <w:r w:rsidRPr="00DB517C">
                        <w:rPr>
                          <w:rFonts w:eastAsia="Malgun Gothic"/>
                          <w:strike/>
                          <w:color w:val="FF0000"/>
                          <w:position w:val="-12"/>
                          <w:highlight w:val="yellow"/>
                        </w:rPr>
                        <w:object w:dxaOrig="560" w:dyaOrig="340" w14:anchorId="3E75A1EE">
                          <v:shape id="_x0000_i1028" type="#_x0000_t75" style="width:28.5pt;height:18pt" o:ole="">
                            <v:imagedata r:id="rId10" o:title=""/>
                          </v:shape>
                          <o:OLEObject Type="Embed" ProgID="Equation.DSMT4" ShapeID="_x0000_i1028" DrawAspect="Content" ObjectID="_1596455627" r:id="rId13"/>
                        </w:object>
                      </w:r>
                      <w:r w:rsidRPr="00DB517C">
                        <w:rPr>
                          <w:rFonts w:eastAsia="Malgun Gothic"/>
                          <w:color w:val="000000"/>
                          <w:highlight w:val="yellow"/>
                        </w:rPr>
                        <w:t xml:space="preserve"> shall be used.</w:t>
                      </w:r>
                    </w:p>
                    <w:p w14:paraId="478B9CAF" w14:textId="70E95A11" w:rsidR="00D82985" w:rsidRDefault="00D82985"/>
                  </w:txbxContent>
                </v:textbox>
                <w10:anchorlock/>
              </v:shape>
            </w:pict>
          </mc:Fallback>
        </mc:AlternateContent>
      </w:r>
    </w:p>
    <w:p w14:paraId="6827BFD5" w14:textId="77777777" w:rsidR="004273B4" w:rsidRDefault="004273B4" w:rsidP="00545DAE">
      <w:pPr>
        <w:spacing w:after="160" w:line="259" w:lineRule="auto"/>
        <w:jc w:val="both"/>
        <w:rPr>
          <w:b/>
        </w:rPr>
      </w:pPr>
    </w:p>
    <w:p w14:paraId="42D9BAF8" w14:textId="60F2C4C9" w:rsidR="004273B4" w:rsidRPr="004273B4" w:rsidRDefault="004273B4" w:rsidP="00545DAE">
      <w:pPr>
        <w:spacing w:after="160" w:line="259" w:lineRule="auto"/>
        <w:jc w:val="both"/>
      </w:pPr>
      <w:r w:rsidRPr="004273B4">
        <w:rPr>
          <w:b/>
        </w:rPr>
        <w:t>Note</w:t>
      </w:r>
      <w:r w:rsidRPr="004273B4">
        <w:t>: The spec text below may be further affected by msg3 discussions.</w:t>
      </w:r>
    </w:p>
    <w:p w14:paraId="327DB121" w14:textId="57F73C86" w:rsidR="00545DAE" w:rsidRPr="00545DAE" w:rsidRDefault="004273B4" w:rsidP="00545DAE">
      <w:pPr>
        <w:spacing w:after="160" w:line="259" w:lineRule="auto"/>
        <w:jc w:val="both"/>
        <w:rPr>
          <w:b/>
        </w:rPr>
      </w:pPr>
      <w:r>
        <w:rPr>
          <w:b/>
        </w:rPr>
        <w:t>Offline agreement</w:t>
      </w:r>
      <w:r w:rsidR="00545DAE" w:rsidRPr="00545DAE">
        <w:rPr>
          <w:b/>
        </w:rPr>
        <w:t>:</w:t>
      </w:r>
    </w:p>
    <w:p w14:paraId="57C745E5" w14:textId="29CAB301" w:rsidR="0046310A" w:rsidRPr="00683E0A" w:rsidRDefault="0046310A" w:rsidP="0046310A">
      <w:pPr>
        <w:pStyle w:val="Heading2"/>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310A" w:rsidRPr="00F82D01" w14:paraId="2BCE63FF" w14:textId="77777777" w:rsidTr="00302A01">
        <w:tc>
          <w:tcPr>
            <w:tcW w:w="9855" w:type="dxa"/>
            <w:shd w:val="clear" w:color="auto" w:fill="auto"/>
          </w:tcPr>
          <w:p w14:paraId="12D13BA9" w14:textId="77777777" w:rsidR="0046310A" w:rsidRPr="00683E0A" w:rsidRDefault="0046310A" w:rsidP="00302A01">
            <w:pPr>
              <w:keepNext/>
              <w:keepLines/>
              <w:spacing w:before="120"/>
              <w:ind w:left="1418" w:hanging="1418"/>
              <w:outlineLvl w:val="3"/>
              <w:rPr>
                <w:rFonts w:ascii="Arial" w:hAnsi="Arial"/>
                <w:color w:val="000000"/>
                <w:sz w:val="24"/>
                <w:lang w:val="x-none"/>
              </w:rPr>
            </w:pPr>
            <w:bookmarkStart w:id="5" w:name="_Toc517439449"/>
            <w:r w:rsidRPr="00683E0A">
              <w:rPr>
                <w:rFonts w:ascii="Arial" w:hAnsi="Arial"/>
                <w:color w:val="000000"/>
                <w:sz w:val="24"/>
                <w:lang w:val="x-none"/>
              </w:rPr>
              <w:t>5.1.2.2</w:t>
            </w:r>
            <w:r w:rsidRPr="00683E0A">
              <w:rPr>
                <w:rFonts w:ascii="Arial" w:hAnsi="Arial"/>
                <w:color w:val="000000"/>
                <w:sz w:val="24"/>
                <w:lang w:val="x-none"/>
              </w:rPr>
              <w:tab/>
              <w:t>Resource allocation in frequency domain</w:t>
            </w:r>
            <w:bookmarkEnd w:id="5"/>
          </w:p>
          <w:p w14:paraId="7FEA7139" w14:textId="77777777" w:rsidR="0046310A" w:rsidRPr="00683E0A" w:rsidRDefault="0046310A" w:rsidP="00302A01">
            <w:pPr>
              <w:rPr>
                <w:color w:val="000000"/>
              </w:rPr>
            </w:pPr>
            <w:r w:rsidRPr="00683E0A">
              <w:rPr>
                <w:color w:val="000000"/>
              </w:rPr>
              <w:t xml:space="preserve">Two downlink resource allocation schemes, type 0 and type 1, are supported. The UE shall assume that when the scheduling grant is received with DCI format </w:t>
            </w:r>
            <w:r w:rsidRPr="00683E0A">
              <w:rPr>
                <w:rFonts w:ascii="Segoe UI" w:hAnsi="Segoe UI" w:cs="Segoe UI"/>
                <w:color w:val="000000"/>
              </w:rPr>
              <w:t>1_0</w:t>
            </w:r>
            <w:r w:rsidRPr="00683E0A">
              <w:rPr>
                <w:color w:val="000000"/>
              </w:rPr>
              <w:t>, then downlink resource allocation type 1 is used.</w:t>
            </w:r>
          </w:p>
          <w:p w14:paraId="600685B3" w14:textId="77777777" w:rsidR="0046310A" w:rsidRPr="00683E0A" w:rsidRDefault="0046310A" w:rsidP="00302A01">
            <w:pPr>
              <w:rPr>
                <w:color w:val="000000"/>
              </w:rPr>
            </w:pPr>
            <w:r w:rsidRPr="00683E0A">
              <w:rPr>
                <w:color w:val="000000"/>
              </w:rPr>
              <w:t xml:space="preserve">If the scheduling DCI is configured to indicate the downlink resource allocation type as part of the </w:t>
            </w:r>
            <w:r w:rsidRPr="00683E0A">
              <w:rPr>
                <w:i/>
                <w:color w:val="000000"/>
              </w:rPr>
              <w:t>Frequency domain resource assignment</w:t>
            </w:r>
            <w:r w:rsidRPr="00683E0A">
              <w:rPr>
                <w:color w:val="000000"/>
              </w:rPr>
              <w:t xml:space="preserve"> field by setting a higher layer parameter </w:t>
            </w:r>
            <w:proofErr w:type="spellStart"/>
            <w:r w:rsidRPr="00683E0A">
              <w:rPr>
                <w:i/>
                <w:color w:val="000000"/>
              </w:rPr>
              <w:t>resourceAllocation</w:t>
            </w:r>
            <w:proofErr w:type="spellEnd"/>
            <w:r w:rsidRPr="00683E0A">
              <w:rPr>
                <w:color w:val="000000"/>
              </w:rPr>
              <w:t xml:space="preserve"> in </w:t>
            </w:r>
            <w:proofErr w:type="spellStart"/>
            <w:r w:rsidRPr="00683E0A">
              <w:rPr>
                <w:i/>
                <w:color w:val="000000"/>
              </w:rPr>
              <w:t>pdsch</w:t>
            </w:r>
            <w:proofErr w:type="spellEnd"/>
            <w:r w:rsidRPr="00683E0A">
              <w:rPr>
                <w:i/>
                <w:color w:val="000000"/>
              </w:rPr>
              <w:t>-Config</w:t>
            </w:r>
            <w:r w:rsidRPr="00683E0A">
              <w:rPr>
                <w:color w:val="000000"/>
              </w:rPr>
              <w:t xml:space="preserve"> to '</w:t>
            </w:r>
            <w:proofErr w:type="spellStart"/>
            <w:r w:rsidRPr="00683E0A">
              <w:rPr>
                <w:color w:val="000000"/>
              </w:rPr>
              <w:t>dynamicswitch</w:t>
            </w:r>
            <w:proofErr w:type="spellEnd"/>
            <w:r w:rsidRPr="00683E0A">
              <w:rPr>
                <w:color w:val="000000"/>
              </w:rPr>
              <w:t xml:space="preserve">', the UE shall use downlink resource allocation type 0 or type 1 as defined by this DCI field. Otherwise the UE shall use the downlink frequency resource allocation type as defined by the higher layer parameter </w:t>
            </w:r>
            <w:proofErr w:type="spellStart"/>
            <w:r w:rsidRPr="00683E0A">
              <w:rPr>
                <w:i/>
                <w:color w:val="000000"/>
              </w:rPr>
              <w:t>resourceAllocation</w:t>
            </w:r>
            <w:proofErr w:type="spellEnd"/>
            <w:r w:rsidRPr="00683E0A">
              <w:rPr>
                <w:color w:val="000000"/>
              </w:rPr>
              <w:t>.</w:t>
            </w:r>
          </w:p>
          <w:p w14:paraId="754416BD" w14:textId="77777777" w:rsidR="0046310A" w:rsidRPr="00302A01" w:rsidRDefault="0046310A" w:rsidP="00302A01">
            <w:pPr>
              <w:rPr>
                <w:strike/>
                <w:color w:val="FF0000"/>
              </w:rPr>
            </w:pPr>
            <w:bookmarkStart w:id="6" w:name="_Hlk498008880"/>
            <w:r w:rsidRPr="00302A01">
              <w:rPr>
                <w:strike/>
                <w:color w:val="FF0000"/>
              </w:rPr>
              <w:t>For a PDSCH scheduled with a DCI format 1_0 in any type of PDCCH common search space, regardless of which bandwidth part is the active bandwidth part, RB numbering starts from the lowest RB of the CORESET in which the DCI was received.</w:t>
            </w:r>
          </w:p>
          <w:p w14:paraId="50295462" w14:textId="77777777" w:rsidR="0046310A" w:rsidRDefault="0046310A" w:rsidP="00302A01">
            <w:pPr>
              <w:rPr>
                <w:color w:val="000000"/>
              </w:rPr>
            </w:pPr>
            <w:r w:rsidRPr="00683E0A">
              <w:rPr>
                <w:color w:val="000000"/>
              </w:rPr>
              <w:t>For a PDSCH scheduled otherwise, if a bandwidth part indicator field is not configured in the scheduling DCI, the RB indexing for downlink type 0 and type 1 resource allocation is determined within the UE's active bandwidth part. If a bandwidth part indicator field is configured in the scheduling DCI, the RB indexing for downlink type 0 and type 1 resource allocation is determined within the UE's bandwidth part indicated by bandwidth part indicator field value in the DCI. The UE shall upon detection of PDCCH intended for the UE determine first the downlink carrier bandwidth part and then the resource allocation within the bandwidth part.</w:t>
            </w:r>
            <w:bookmarkEnd w:id="6"/>
          </w:p>
          <w:p w14:paraId="5C971A07" w14:textId="77777777" w:rsidR="0046310A" w:rsidRPr="00302A01" w:rsidRDefault="0046310A" w:rsidP="00302A01">
            <w:pPr>
              <w:rPr>
                <w:color w:val="000000"/>
                <w:u w:val="single"/>
              </w:rPr>
            </w:pPr>
            <w:r w:rsidRPr="00302A01">
              <w:rPr>
                <w:color w:val="FF0000"/>
                <w:u w:val="single"/>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tc>
      </w:tr>
    </w:tbl>
    <w:p w14:paraId="27DF053B" w14:textId="77777777" w:rsidR="0046310A" w:rsidRPr="00D83007" w:rsidRDefault="0046310A" w:rsidP="0046310A">
      <w:pPr>
        <w:jc w:val="both"/>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310A" w:rsidRPr="00866FF9" w14:paraId="767734CC" w14:textId="77777777" w:rsidTr="00302A01">
        <w:tc>
          <w:tcPr>
            <w:tcW w:w="9855" w:type="dxa"/>
            <w:shd w:val="clear" w:color="auto" w:fill="auto"/>
          </w:tcPr>
          <w:p w14:paraId="31D868E0" w14:textId="77777777" w:rsidR="0046310A" w:rsidRPr="0046310A" w:rsidRDefault="0046310A" w:rsidP="0046310A">
            <w:pPr>
              <w:keepNext/>
              <w:keepLines/>
              <w:spacing w:before="120"/>
              <w:ind w:left="1418" w:hanging="1418"/>
              <w:outlineLvl w:val="3"/>
              <w:rPr>
                <w:rFonts w:ascii="Arial" w:hAnsi="Arial"/>
                <w:color w:val="000000"/>
                <w:sz w:val="24"/>
                <w:lang w:val="x-none"/>
              </w:rPr>
            </w:pPr>
            <w:bookmarkStart w:id="7" w:name="_Toc517439451"/>
            <w:r w:rsidRPr="0046310A">
              <w:rPr>
                <w:rFonts w:ascii="Arial" w:hAnsi="Arial"/>
                <w:color w:val="000000"/>
                <w:sz w:val="24"/>
                <w:lang w:val="x-none"/>
              </w:rPr>
              <w:t>5.1.2.2.2</w:t>
            </w:r>
            <w:r w:rsidRPr="0046310A">
              <w:rPr>
                <w:rFonts w:ascii="Arial" w:hAnsi="Arial"/>
                <w:color w:val="000000"/>
                <w:sz w:val="24"/>
                <w:lang w:val="x-none"/>
              </w:rPr>
              <w:tab/>
              <w:t>Downlink resource allocation type 1</w:t>
            </w:r>
            <w:bookmarkEnd w:id="7"/>
          </w:p>
          <w:p w14:paraId="563C14F1" w14:textId="77777777" w:rsidR="0046310A" w:rsidRPr="0048482F" w:rsidRDefault="0046310A" w:rsidP="00302A01">
            <w:pPr>
              <w:rPr>
                <w:color w:val="000000"/>
                <w:lang w:eastAsia="en-GB"/>
              </w:rPr>
            </w:pPr>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7E8C387D">
                <v:shape id="_x0000_i1029" type="#_x0000_t75" style="width:27.75pt;height:17.25pt" o:ole="">
                  <v:imagedata r:id="rId8" o:title=""/>
                </v:shape>
                <o:OLEObject Type="Embed" ProgID="Equation.3" ShapeID="_x0000_i1029" DrawAspect="Content" ObjectID="_1596455608" r:id="rId14"/>
              </w:object>
            </w:r>
            <w:r w:rsidRPr="0048482F">
              <w:rPr>
                <w:color w:val="000000"/>
              </w:rPr>
              <w:t xml:space="preserve"> PRBs</w:t>
            </w:r>
            <w:r>
              <w:rPr>
                <w:color w:val="000000"/>
              </w:rPr>
              <w:t xml:space="preserve"> except for the case when DCI format 1_0 is decoded in any common search space </w:t>
            </w:r>
            <w:r w:rsidRPr="004273B4">
              <w:rPr>
                <w:strike/>
                <w:color w:val="FF0000"/>
              </w:rPr>
              <w:t>in</w:t>
            </w:r>
            <w:r w:rsidRPr="00302A01">
              <w:rPr>
                <w:strike/>
                <w:color w:val="FF0000"/>
              </w:rPr>
              <w:t xml:space="preserve"> CORESET 0</w:t>
            </w:r>
            <w:r>
              <w:rPr>
                <w:color w:val="000000"/>
              </w:rPr>
              <w:t xml:space="preserve"> in which case the </w:t>
            </w:r>
            <w:r w:rsidRPr="00302A01">
              <w:rPr>
                <w:color w:val="FF0000"/>
                <w:u w:val="single"/>
              </w:rPr>
              <w:t xml:space="preserve">size of the </w:t>
            </w:r>
            <w:r>
              <w:rPr>
                <w:color w:val="000000"/>
              </w:rPr>
              <w:t>initial bandwidth part</w:t>
            </w:r>
            <w:r w:rsidRPr="00302A01">
              <w:rPr>
                <w:strike/>
                <w:color w:val="FF0000"/>
              </w:rPr>
              <w:t xml:space="preserve"> of size</w:t>
            </w:r>
            <w:r>
              <w:rPr>
                <w:color w:val="000000"/>
              </w:rPr>
              <w:t xml:space="preserve"> </w:t>
            </w:r>
            <w:r w:rsidRPr="00E71520">
              <w:rPr>
                <w:color w:val="000000"/>
                <w:position w:val="-12"/>
              </w:rPr>
              <w:object w:dxaOrig="560" w:dyaOrig="340" w14:anchorId="646021EC">
                <v:shape id="_x0000_i1030" type="#_x0000_t75" style="width:28.5pt;height:18pt" o:ole="">
                  <v:imagedata r:id="rId10" o:title=""/>
                </v:shape>
                <o:OLEObject Type="Embed" ProgID="Equation.DSMT4" ShapeID="_x0000_i1030" DrawAspect="Content" ObjectID="_1596455609" r:id="rId15"/>
              </w:object>
            </w:r>
            <w:r>
              <w:rPr>
                <w:color w:val="000000"/>
              </w:rPr>
              <w:t xml:space="preserve"> shall be used</w:t>
            </w:r>
            <w:r w:rsidRPr="0048482F">
              <w:rPr>
                <w:color w:val="000000"/>
              </w:rPr>
              <w:t>.</w:t>
            </w:r>
          </w:p>
          <w:p w14:paraId="59FC4AE6" w14:textId="77777777" w:rsidR="0046310A" w:rsidRPr="0048482F" w:rsidRDefault="0046310A" w:rsidP="00302A01">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7024728">
                <v:shape id="_x0000_i1031" type="#_x0000_t75" style="width:30pt;height:15.75pt" o:ole="">
                  <v:imagedata r:id="rId16" o:title=""/>
                </v:shape>
                <o:OLEObject Type="Embed" ProgID="Equation.3" ShapeID="_x0000_i1031" DrawAspect="Content" ObjectID="_1596455610" r:id="rId17"/>
              </w:object>
            </w:r>
            <w:r w:rsidRPr="0048482F">
              <w:rPr>
                <w:color w:val="000000"/>
              </w:rPr>
              <w:t>) and a length in terms of contiguously allocated resource blocks</w:t>
            </w:r>
            <w:r w:rsidRPr="0048482F">
              <w:rPr>
                <w:color w:val="000000"/>
                <w:position w:val="-10"/>
                <w:lang w:eastAsia="en-GB"/>
              </w:rPr>
              <w:object w:dxaOrig="440" w:dyaOrig="300" w14:anchorId="0D709D01">
                <v:shape id="_x0000_i1032" type="#_x0000_t75" style="width:22.5pt;height:15.75pt" o:ole="">
                  <v:imagedata r:id="rId18" o:title=""/>
                </v:shape>
                <o:OLEObject Type="Embed" ProgID="Equation.3" ShapeID="_x0000_i1032" DrawAspect="Content" ObjectID="_1596455611" r:id="rId19"/>
              </w:object>
            </w:r>
            <w:r w:rsidRPr="0048482F">
              <w:rPr>
                <w:color w:val="000000"/>
              </w:rPr>
              <w:t>. The resource indication value is defined by</w:t>
            </w:r>
          </w:p>
          <w:p w14:paraId="3ED2423B" w14:textId="77777777" w:rsidR="0046310A" w:rsidRPr="0048482F" w:rsidRDefault="0046310A" w:rsidP="00302A01">
            <w:pPr>
              <w:pStyle w:val="B1"/>
            </w:pPr>
            <w:r w:rsidRPr="0048482F">
              <w:t xml:space="preserve">if </w:t>
            </w:r>
            <w:r w:rsidRPr="0048482F">
              <w:rPr>
                <w:position w:val="-10"/>
                <w:lang w:eastAsia="en-GB"/>
              </w:rPr>
              <w:object w:dxaOrig="1960" w:dyaOrig="400" w14:anchorId="3443F02D">
                <v:shape id="_x0000_i1033" type="#_x0000_t75" style="width:96.75pt;height:19.5pt" o:ole="">
                  <v:imagedata r:id="rId20" o:title=""/>
                </v:shape>
                <o:OLEObject Type="Embed" ProgID="Equation.3" ShapeID="_x0000_i1033" DrawAspect="Content" ObjectID="_1596455612" r:id="rId21"/>
              </w:object>
            </w:r>
            <w:r w:rsidRPr="0048482F">
              <w:t xml:space="preserve"> then</w:t>
            </w:r>
          </w:p>
          <w:p w14:paraId="2343A1C2" w14:textId="77777777" w:rsidR="0046310A" w:rsidRPr="0048482F" w:rsidRDefault="0046310A" w:rsidP="00302A01">
            <w:pPr>
              <w:pStyle w:val="B2"/>
            </w:pPr>
            <w:r w:rsidRPr="0048482F">
              <w:rPr>
                <w:position w:val="-10"/>
                <w:lang w:eastAsia="en-GB"/>
              </w:rPr>
              <w:object w:dxaOrig="2620" w:dyaOrig="340" w14:anchorId="2D61CCC2">
                <v:shape id="_x0000_i1034" type="#_x0000_t75" style="width:131.25pt;height:17.25pt" o:ole="">
                  <v:imagedata r:id="rId22" o:title=""/>
                </v:shape>
                <o:OLEObject Type="Embed" ProgID="Equation.3" ShapeID="_x0000_i1034" DrawAspect="Content" ObjectID="_1596455613" r:id="rId23"/>
              </w:object>
            </w:r>
          </w:p>
          <w:p w14:paraId="74A15E86" w14:textId="77777777" w:rsidR="0046310A" w:rsidRPr="0048482F" w:rsidRDefault="0046310A" w:rsidP="00302A01">
            <w:pPr>
              <w:pStyle w:val="B1"/>
            </w:pPr>
            <w:r w:rsidRPr="0048482F">
              <w:t xml:space="preserve">else </w:t>
            </w:r>
          </w:p>
          <w:p w14:paraId="6DB42CB8" w14:textId="77777777" w:rsidR="0046310A" w:rsidRPr="0048482F" w:rsidRDefault="0046310A" w:rsidP="00302A01">
            <w:pPr>
              <w:pStyle w:val="B2"/>
            </w:pPr>
            <w:r w:rsidRPr="0048482F">
              <w:rPr>
                <w:position w:val="-10"/>
                <w:lang w:eastAsia="en-GB"/>
              </w:rPr>
              <w:object w:dxaOrig="4420" w:dyaOrig="340" w14:anchorId="1BF90339">
                <v:shape id="_x0000_i1035" type="#_x0000_t75" style="width:221.2pt;height:17.25pt" o:ole="">
                  <v:imagedata r:id="rId24" o:title=""/>
                </v:shape>
                <o:OLEObject Type="Embed" ProgID="Equation.3" ShapeID="_x0000_i1035" DrawAspect="Content" ObjectID="_1596455614" r:id="rId25"/>
              </w:object>
            </w:r>
          </w:p>
          <w:p w14:paraId="34247A5E" w14:textId="77777777" w:rsidR="0046310A" w:rsidRPr="00866FF9" w:rsidRDefault="0046310A" w:rsidP="00302A01">
            <w:pPr>
              <w:rPr>
                <w:color w:val="000000"/>
              </w:rPr>
            </w:pPr>
            <w:r w:rsidRPr="0048482F">
              <w:rPr>
                <w:color w:val="000000"/>
              </w:rPr>
              <w:t>where</w:t>
            </w:r>
            <w:r w:rsidRPr="0048482F">
              <w:rPr>
                <w:color w:val="000000"/>
                <w:position w:val="-10"/>
                <w:lang w:eastAsia="en-GB"/>
              </w:rPr>
              <w:object w:dxaOrig="440" w:dyaOrig="300" w14:anchorId="3AFD65E4">
                <v:shape id="_x0000_i1036" type="#_x0000_t75" style="width:22.5pt;height:15.75pt" o:ole="">
                  <v:imagedata r:id="rId26" o:title=""/>
                </v:shape>
                <o:OLEObject Type="Embed" ProgID="Equation.3" ShapeID="_x0000_i1036" DrawAspect="Content" ObjectID="_1596455615" r:id="rId27"/>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263AC0E9">
                <v:shape id="_x0000_i1037" type="#_x0000_t75" style="width:67.45pt;height:19.5pt" o:ole="">
                  <v:imagedata r:id="rId28" o:title=""/>
                </v:shape>
                <o:OLEObject Type="Embed" ProgID="Equation.3" ShapeID="_x0000_i1037" DrawAspect="Content" ObjectID="_1596455616" r:id="rId29"/>
              </w:object>
            </w:r>
            <w:r w:rsidRPr="0048482F">
              <w:rPr>
                <w:color w:val="000000"/>
              </w:rPr>
              <w:t>.</w:t>
            </w:r>
            <w:r w:rsidRPr="007348E4">
              <w:rPr>
                <w:color w:val="000000"/>
              </w:rPr>
              <w:t xml:space="preserve"> </w:t>
            </w:r>
          </w:p>
        </w:tc>
      </w:tr>
    </w:tbl>
    <w:p w14:paraId="56316F58" w14:textId="77777777" w:rsidR="0046310A" w:rsidRDefault="0046310A" w:rsidP="0046310A">
      <w:pPr>
        <w:jc w:val="both"/>
      </w:pPr>
    </w:p>
    <w:p w14:paraId="418958E9" w14:textId="6041FE49" w:rsidR="0046310A" w:rsidRPr="00683E0A" w:rsidRDefault="0046310A" w:rsidP="0046310A">
      <w:pPr>
        <w:pStyle w:val="Heading2"/>
        <w:numPr>
          <w:ilvl w:val="0"/>
          <w:numId w:val="0"/>
        </w:numPr>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310A" w:rsidRPr="00866FF9" w14:paraId="58FC205F" w14:textId="77777777" w:rsidTr="00302A01">
        <w:tc>
          <w:tcPr>
            <w:tcW w:w="9855" w:type="dxa"/>
            <w:shd w:val="clear" w:color="auto" w:fill="auto"/>
          </w:tcPr>
          <w:p w14:paraId="4D24C998" w14:textId="77777777" w:rsidR="0046310A" w:rsidRPr="0046310A" w:rsidRDefault="0046310A" w:rsidP="0046310A">
            <w:pPr>
              <w:keepNext/>
              <w:keepLines/>
              <w:spacing w:before="120"/>
              <w:ind w:left="1418" w:hanging="1418"/>
              <w:outlineLvl w:val="3"/>
              <w:rPr>
                <w:rFonts w:ascii="Arial" w:hAnsi="Arial"/>
                <w:color w:val="000000"/>
                <w:sz w:val="24"/>
                <w:lang w:val="x-none"/>
              </w:rPr>
            </w:pPr>
            <w:bookmarkStart w:id="8" w:name="_Toc517439507"/>
            <w:r w:rsidRPr="0046310A">
              <w:rPr>
                <w:rFonts w:ascii="Arial" w:hAnsi="Arial"/>
                <w:color w:val="000000"/>
                <w:sz w:val="24"/>
                <w:lang w:val="x-none"/>
              </w:rPr>
              <w:t>6.1.2.2</w:t>
            </w:r>
            <w:r w:rsidRPr="0046310A">
              <w:rPr>
                <w:rFonts w:ascii="Arial" w:hAnsi="Arial"/>
                <w:color w:val="000000"/>
                <w:sz w:val="24"/>
                <w:lang w:val="x-none"/>
              </w:rPr>
              <w:tab/>
              <w:t>Resource allocation in frequency domain</w:t>
            </w:r>
            <w:bookmarkEnd w:id="8"/>
          </w:p>
          <w:p w14:paraId="1756BC17" w14:textId="77777777" w:rsidR="0046310A" w:rsidRPr="0048482F" w:rsidRDefault="0046310A" w:rsidP="00302A01">
            <w:pPr>
              <w:jc w:val="both"/>
              <w:rPr>
                <w:color w:val="000000"/>
              </w:rPr>
            </w:pPr>
            <w:r w:rsidRPr="0048482F">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Pr>
                <w:color w:val="000000"/>
              </w:rPr>
              <w:t>PUSCH only when transform precoding is disabled</w:t>
            </w:r>
            <w:r w:rsidRPr="0048482F">
              <w:rPr>
                <w:color w:val="000000"/>
              </w:rPr>
              <w:t>. Uplink resource allocation scheme type 1 is supported for PUSCH for both cases when transform precoding is enabled or disabled.</w:t>
            </w:r>
          </w:p>
          <w:p w14:paraId="757A7919" w14:textId="77777777" w:rsidR="0046310A" w:rsidRPr="0048482F" w:rsidRDefault="0046310A" w:rsidP="00302A01">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sidRPr="0048482F">
              <w:rPr>
                <w:color w:val="000000"/>
              </w:rPr>
              <w:t>.</w:t>
            </w:r>
          </w:p>
          <w:p w14:paraId="76849D81" w14:textId="77777777" w:rsidR="0046310A" w:rsidRPr="0048482F" w:rsidRDefault="0046310A" w:rsidP="00302A01">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r w:rsidRPr="0048482F">
              <w:rPr>
                <w:rFonts w:ascii="Segoe UI" w:hAnsi="Segoe UI" w:cs="Segoe UI"/>
                <w:color w:val="000000"/>
              </w:rPr>
              <w:t>_0</w:t>
            </w:r>
            <w:r w:rsidRPr="002D25F4">
              <w:rPr>
                <w:color w:val="000000"/>
              </w:rPr>
              <w:t>, then</w:t>
            </w:r>
            <w:r w:rsidRPr="0048482F">
              <w:rPr>
                <w:color w:val="000000"/>
              </w:rPr>
              <w:t xml:space="preserve"> uplink resource allocation type 1 is used.</w:t>
            </w:r>
            <w:r>
              <w:rPr>
                <w:color w:val="000000"/>
              </w:rPr>
              <w:t xml:space="preserve"> </w:t>
            </w:r>
          </w:p>
          <w:p w14:paraId="589B4D95" w14:textId="45662139" w:rsidR="0046310A" w:rsidRPr="00866FF9" w:rsidRDefault="0046310A" w:rsidP="00302A01">
            <w:pPr>
              <w:rPr>
                <w:color w:val="000000"/>
              </w:rPr>
            </w:pPr>
            <w:r w:rsidRPr="001E64BA">
              <w:rPr>
                <w:color w:val="000000"/>
              </w:rPr>
              <w:t>If a bandwidth part indicator field is not configured in the scheduling DCI</w:t>
            </w:r>
            <w:r>
              <w:rPr>
                <w:color w:val="000000"/>
              </w:rPr>
              <w:t>,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r w:rsidRPr="00302A01">
              <w:rPr>
                <w:strike/>
                <w:color w:val="FF0000"/>
              </w:rPr>
              <w:t>, except for the case when DCI format 0_0 is decoded in any PDCCH common search space in CORESET 0 in which case the initial bandwidth part shall be used</w:t>
            </w:r>
            <w:r>
              <w:rPr>
                <w:color w:val="000000"/>
              </w:rPr>
              <w:t>. T</w:t>
            </w:r>
            <w:r w:rsidRPr="0048482F">
              <w:rPr>
                <w:color w:val="000000"/>
              </w:rPr>
              <w:t>he UE shall upon detection of PDCCH intended for the UE determine first the uplink bandwidth part and then the resource allocation within the bandwidth part.</w:t>
            </w:r>
            <w:r w:rsidRPr="00302A01">
              <w:rPr>
                <w:color w:val="FF0000"/>
                <w:u w:val="single"/>
              </w:rPr>
              <w:t xml:space="preserve"> RB numbering starts from the lowest RB in the determined </w:t>
            </w:r>
            <w:r w:rsidR="004273B4">
              <w:rPr>
                <w:color w:val="FF0000"/>
                <w:u w:val="single"/>
              </w:rPr>
              <w:t>uplink</w:t>
            </w:r>
            <w:r w:rsidRPr="00302A01">
              <w:rPr>
                <w:color w:val="FF0000"/>
                <w:u w:val="single"/>
              </w:rPr>
              <w:t xml:space="preserve"> bandwidth part.</w:t>
            </w:r>
          </w:p>
        </w:tc>
      </w:tr>
    </w:tbl>
    <w:p w14:paraId="5B72D525" w14:textId="77777777" w:rsidR="0046310A" w:rsidRPr="00B32350" w:rsidRDefault="0046310A" w:rsidP="0046310A">
      <w:pPr>
        <w:jc w:val="both"/>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310A" w:rsidRPr="00866FF9" w14:paraId="29F26638" w14:textId="77777777" w:rsidTr="00302A01">
        <w:tc>
          <w:tcPr>
            <w:tcW w:w="9855" w:type="dxa"/>
            <w:shd w:val="clear" w:color="auto" w:fill="auto"/>
          </w:tcPr>
          <w:p w14:paraId="5F67D736" w14:textId="77777777" w:rsidR="0046310A" w:rsidRPr="0046310A" w:rsidRDefault="0046310A" w:rsidP="0046310A">
            <w:pPr>
              <w:keepNext/>
              <w:keepLines/>
              <w:spacing w:before="120"/>
              <w:ind w:left="1418" w:hanging="1418"/>
              <w:outlineLvl w:val="3"/>
              <w:rPr>
                <w:rFonts w:ascii="Arial" w:hAnsi="Arial"/>
                <w:color w:val="000000"/>
                <w:sz w:val="24"/>
                <w:lang w:val="x-none"/>
              </w:rPr>
            </w:pPr>
            <w:bookmarkStart w:id="9" w:name="_Toc517439509"/>
            <w:r w:rsidRPr="0046310A">
              <w:rPr>
                <w:rFonts w:ascii="Arial" w:hAnsi="Arial"/>
                <w:color w:val="000000"/>
                <w:sz w:val="24"/>
                <w:lang w:val="x-none"/>
              </w:rPr>
              <w:t>6.1.2.2.2</w:t>
            </w:r>
            <w:r w:rsidRPr="0046310A">
              <w:rPr>
                <w:rFonts w:ascii="Arial" w:hAnsi="Arial"/>
                <w:color w:val="000000"/>
                <w:sz w:val="24"/>
                <w:lang w:val="x-none"/>
              </w:rPr>
              <w:tab/>
              <w:t>Uplink resource allocation type 1</w:t>
            </w:r>
            <w:bookmarkEnd w:id="9"/>
          </w:p>
          <w:p w14:paraId="2DB82C9A" w14:textId="77777777" w:rsidR="0046310A" w:rsidRPr="0048482F" w:rsidRDefault="0046310A" w:rsidP="00302A01">
            <w:pPr>
              <w:rPr>
                <w:color w:val="000000"/>
                <w:lang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37075F65">
                <v:shape id="_x0000_i1038" type="#_x0000_t75" style="width:29.25pt;height:19.5pt" o:ole="">
                  <v:imagedata r:id="rId30" o:title=""/>
                </v:shape>
                <o:OLEObject Type="Embed" ProgID="Equation.3" ShapeID="_x0000_i1038" DrawAspect="Content" ObjectID="_1596455617" r:id="rId31"/>
              </w:object>
            </w:r>
            <w:r>
              <w:rPr>
                <w:color w:val="000000"/>
              </w:rPr>
              <w:t xml:space="preserve"> </w:t>
            </w:r>
            <w:r w:rsidRPr="0048482F">
              <w:rPr>
                <w:color w:val="000000"/>
              </w:rPr>
              <w:t>PRBs</w:t>
            </w:r>
            <w:r>
              <w:rPr>
                <w:color w:val="000000"/>
              </w:rPr>
              <w:t xml:space="preserve"> </w:t>
            </w:r>
            <w:r w:rsidRPr="006002F0">
              <w:rPr>
                <w:color w:val="000000"/>
              </w:rPr>
              <w:t>except for the case when DCI format 0_0 is decoded in the</w:t>
            </w:r>
            <w:r w:rsidRPr="004419F3">
              <w:rPr>
                <w:color w:val="000000"/>
              </w:rPr>
              <w:t xml:space="preserve"> </w:t>
            </w:r>
            <w:r>
              <w:rPr>
                <w:color w:val="000000"/>
              </w:rPr>
              <w:t>Type0-PDCCH</w:t>
            </w:r>
            <w:r w:rsidRPr="006002F0">
              <w:rPr>
                <w:color w:val="000000"/>
              </w:rPr>
              <w:t xml:space="preserve"> common search space </w:t>
            </w:r>
            <w:r w:rsidRPr="004273B4">
              <w:rPr>
                <w:strike/>
                <w:color w:val="FF0000"/>
              </w:rPr>
              <w:t xml:space="preserve">in </w:t>
            </w:r>
            <w:r w:rsidRPr="00302A01">
              <w:rPr>
                <w:strike/>
                <w:color w:val="FF0000"/>
              </w:rPr>
              <w:t>CORESET 0</w:t>
            </w:r>
            <w:r w:rsidRPr="006002F0">
              <w:rPr>
                <w:color w:val="000000"/>
              </w:rPr>
              <w:t xml:space="preserve"> in which case the </w:t>
            </w:r>
            <w:r w:rsidRPr="00302A01">
              <w:rPr>
                <w:color w:val="FF0000"/>
                <w:u w:val="single"/>
              </w:rPr>
              <w:t xml:space="preserve">size of the </w:t>
            </w:r>
            <w:r w:rsidRPr="006002F0">
              <w:rPr>
                <w:color w:val="000000"/>
              </w:rPr>
              <w:t>initial bandwidth part</w:t>
            </w:r>
            <w:r w:rsidRPr="00302A01">
              <w:rPr>
                <w:strike/>
                <w:color w:val="FF0000"/>
              </w:rPr>
              <w:t xml:space="preserve"> of size</w:t>
            </w:r>
            <w:r>
              <w:rPr>
                <w:color w:val="000000"/>
              </w:rPr>
              <w:t xml:space="preserve"> </w:t>
            </w:r>
            <w:r w:rsidRPr="0048482F">
              <w:rPr>
                <w:color w:val="000000"/>
                <w:position w:val="-12"/>
              </w:rPr>
              <w:object w:dxaOrig="580" w:dyaOrig="380" w14:anchorId="30E37ABC">
                <v:shape id="_x0000_i1039" type="#_x0000_t75" style="width:29.25pt;height:19.5pt" o:ole="">
                  <v:imagedata r:id="rId30" o:title=""/>
                </v:shape>
                <o:OLEObject Type="Embed" ProgID="Equation.3" ShapeID="_x0000_i1039" DrawAspect="Content" ObjectID="_1596455618" r:id="rId32"/>
              </w:object>
            </w:r>
            <w:r>
              <w:rPr>
                <w:color w:val="000000"/>
              </w:rPr>
              <w:t xml:space="preserve"> shall be used</w:t>
            </w:r>
            <w:r w:rsidRPr="0048482F">
              <w:rPr>
                <w:color w:val="000000"/>
              </w:rPr>
              <w:t xml:space="preserve">. </w:t>
            </w:r>
          </w:p>
          <w:p w14:paraId="0D93DEB3" w14:textId="77777777" w:rsidR="0046310A" w:rsidRPr="0048482F" w:rsidRDefault="0046310A" w:rsidP="00302A0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21E85E5B">
                <v:shape id="_x0000_i1040" type="#_x0000_t75" style="width:30pt;height:15.75pt" o:ole="">
                  <v:imagedata r:id="rId33" o:title=""/>
                </v:shape>
                <o:OLEObject Type="Embed" ProgID="Equation.3" ShapeID="_x0000_i1040" DrawAspect="Content" ObjectID="_1596455619" r:id="rId34"/>
              </w:object>
            </w:r>
            <w:r w:rsidRPr="0048482F">
              <w:rPr>
                <w:color w:val="000000"/>
              </w:rPr>
              <w:t>) and a length in terms of contiguously allocated resource blocks</w:t>
            </w:r>
            <w:r w:rsidRPr="0048482F">
              <w:rPr>
                <w:color w:val="000000"/>
                <w:position w:val="-10"/>
                <w:lang w:eastAsia="en-GB"/>
              </w:rPr>
              <w:object w:dxaOrig="440" w:dyaOrig="300" w14:anchorId="6A789DA6">
                <v:shape id="_x0000_i1041" type="#_x0000_t75" style="width:22.5pt;height:15.75pt" o:ole="">
                  <v:imagedata r:id="rId35" o:title=""/>
                </v:shape>
                <o:OLEObject Type="Embed" ProgID="Equation.3" ShapeID="_x0000_i1041" DrawAspect="Content" ObjectID="_1596455620" r:id="rId36"/>
              </w:object>
            </w:r>
            <w:r w:rsidRPr="0048482F">
              <w:rPr>
                <w:color w:val="000000"/>
              </w:rPr>
              <w:t>. The resource indication value is defined by</w:t>
            </w:r>
          </w:p>
          <w:p w14:paraId="7CD328D4" w14:textId="77777777" w:rsidR="0046310A" w:rsidRPr="0048482F" w:rsidRDefault="0046310A" w:rsidP="00302A01">
            <w:pPr>
              <w:ind w:firstLine="284"/>
              <w:rPr>
                <w:color w:val="000000"/>
              </w:rPr>
            </w:pPr>
            <w:r w:rsidRPr="0048482F">
              <w:rPr>
                <w:color w:val="000000"/>
              </w:rPr>
              <w:t xml:space="preserve">if </w:t>
            </w:r>
            <w:r w:rsidRPr="0048482F">
              <w:rPr>
                <w:color w:val="000000"/>
                <w:position w:val="-10"/>
                <w:lang w:eastAsia="en-GB"/>
              </w:rPr>
              <w:object w:dxaOrig="1939" w:dyaOrig="400" w14:anchorId="3044EC48">
                <v:shape id="_x0000_i1042" type="#_x0000_t75" style="width:96.75pt;height:19.5pt" o:ole="">
                  <v:imagedata r:id="rId37" o:title=""/>
                </v:shape>
                <o:OLEObject Type="Embed" ProgID="Equation.3" ShapeID="_x0000_i1042" DrawAspect="Content" ObjectID="_1596455621" r:id="rId38"/>
              </w:object>
            </w:r>
            <w:r w:rsidRPr="0048482F">
              <w:rPr>
                <w:color w:val="000000"/>
              </w:rPr>
              <w:t xml:space="preserve"> then</w:t>
            </w:r>
          </w:p>
          <w:p w14:paraId="4BD248DF" w14:textId="77777777" w:rsidR="0046310A" w:rsidRPr="0048482F" w:rsidRDefault="0046310A" w:rsidP="00302A01">
            <w:pPr>
              <w:ind w:left="284" w:firstLine="284"/>
              <w:rPr>
                <w:color w:val="000000"/>
              </w:rPr>
            </w:pPr>
            <w:r w:rsidRPr="0048482F">
              <w:rPr>
                <w:color w:val="000000"/>
                <w:position w:val="-10"/>
                <w:lang w:eastAsia="en-GB"/>
              </w:rPr>
              <w:object w:dxaOrig="2620" w:dyaOrig="340" w14:anchorId="5F294D1D">
                <v:shape id="_x0000_i1043" type="#_x0000_t75" style="width:131.25pt;height:17.25pt" o:ole="">
                  <v:imagedata r:id="rId39" o:title=""/>
                </v:shape>
                <o:OLEObject Type="Embed" ProgID="Equation.3" ShapeID="_x0000_i1043" DrawAspect="Content" ObjectID="_1596455622" r:id="rId40"/>
              </w:object>
            </w:r>
          </w:p>
          <w:p w14:paraId="5D427697" w14:textId="77777777" w:rsidR="0046310A" w:rsidRPr="0048482F" w:rsidRDefault="0046310A" w:rsidP="00302A01">
            <w:pPr>
              <w:ind w:firstLine="284"/>
              <w:rPr>
                <w:color w:val="000000"/>
              </w:rPr>
            </w:pPr>
            <w:r w:rsidRPr="0048482F">
              <w:rPr>
                <w:color w:val="000000"/>
              </w:rPr>
              <w:t xml:space="preserve">else </w:t>
            </w:r>
          </w:p>
          <w:p w14:paraId="59CC680E" w14:textId="77777777" w:rsidR="0046310A" w:rsidRPr="0048482F" w:rsidRDefault="0046310A" w:rsidP="00302A01">
            <w:pPr>
              <w:ind w:left="284" w:firstLine="284"/>
              <w:rPr>
                <w:color w:val="000000"/>
              </w:rPr>
            </w:pPr>
            <w:r w:rsidRPr="0048482F">
              <w:rPr>
                <w:color w:val="000000"/>
                <w:position w:val="-10"/>
                <w:lang w:eastAsia="en-GB"/>
              </w:rPr>
              <w:object w:dxaOrig="4420" w:dyaOrig="340" w14:anchorId="4E802BE6">
                <v:shape id="_x0000_i1044" type="#_x0000_t75" style="width:221.2pt;height:17.25pt" o:ole="">
                  <v:imagedata r:id="rId41" o:title=""/>
                </v:shape>
                <o:OLEObject Type="Embed" ProgID="Equation.3" ShapeID="_x0000_i1044" DrawAspect="Content" ObjectID="_1596455623" r:id="rId42"/>
              </w:object>
            </w:r>
          </w:p>
          <w:p w14:paraId="11C0BBD4" w14:textId="77777777" w:rsidR="0046310A" w:rsidRPr="00866FF9" w:rsidRDefault="0046310A" w:rsidP="00302A01">
            <w:pPr>
              <w:rPr>
                <w:color w:val="000000"/>
              </w:rPr>
            </w:pPr>
            <w:r w:rsidRPr="0048482F">
              <w:rPr>
                <w:color w:val="000000"/>
              </w:rPr>
              <w:t>where</w:t>
            </w:r>
            <w:r w:rsidRPr="0048482F">
              <w:rPr>
                <w:color w:val="000000"/>
                <w:position w:val="-10"/>
                <w:lang w:eastAsia="en-GB"/>
              </w:rPr>
              <w:object w:dxaOrig="440" w:dyaOrig="300" w14:anchorId="2620F2A5">
                <v:shape id="_x0000_i1045" type="#_x0000_t75" style="width:22.5pt;height:15.75pt" o:ole="">
                  <v:imagedata r:id="rId43" o:title=""/>
                </v:shape>
                <o:OLEObject Type="Embed" ProgID="Equation.3" ShapeID="_x0000_i1045" DrawAspect="Content" ObjectID="_1596455624" r:id="rId44"/>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5909607B">
                <v:shape id="_x0000_i1046" type="#_x0000_t75" style="width:67.45pt;height:19.5pt" o:ole="">
                  <v:imagedata r:id="rId45" o:title=""/>
                </v:shape>
                <o:OLEObject Type="Embed" ProgID="Equation.3" ShapeID="_x0000_i1046" DrawAspect="Content" ObjectID="_1596455625" r:id="rId46"/>
              </w:object>
            </w:r>
            <w:r w:rsidRPr="0048482F">
              <w:rPr>
                <w:color w:val="000000"/>
              </w:rPr>
              <w:t>.</w:t>
            </w:r>
            <w:r w:rsidRPr="004419F3">
              <w:rPr>
                <w:color w:val="000000"/>
              </w:rPr>
              <w:t xml:space="preserve"> </w:t>
            </w:r>
          </w:p>
        </w:tc>
      </w:tr>
    </w:tbl>
    <w:p w14:paraId="534840A5" w14:textId="77777777" w:rsidR="0046310A" w:rsidRDefault="0046310A" w:rsidP="0046310A">
      <w:pPr>
        <w:jc w:val="both"/>
      </w:pPr>
    </w:p>
    <w:p w14:paraId="1E534430" w14:textId="77777777" w:rsidR="00545DAE" w:rsidRDefault="00545DAE" w:rsidP="00545DAE">
      <w:pPr>
        <w:spacing w:after="160" w:line="259" w:lineRule="auto"/>
        <w:jc w:val="both"/>
      </w:pPr>
    </w:p>
    <w:p w14:paraId="1A89875C" w14:textId="77777777" w:rsidR="00545DAE" w:rsidRPr="001E216C" w:rsidRDefault="00545DAE" w:rsidP="00545DAE">
      <w:pPr>
        <w:pStyle w:val="Heading1"/>
      </w:pPr>
      <w:r w:rsidRPr="001E216C">
        <w:t>Resource allocation for OSI and paging</w:t>
      </w:r>
    </w:p>
    <w:p w14:paraId="291AA559" w14:textId="77777777" w:rsidR="00545DAE" w:rsidRPr="004702F9" w:rsidRDefault="00545DAE" w:rsidP="00545DAE">
      <w:pPr>
        <w:pStyle w:val="BodyText"/>
      </w:pPr>
      <w:r w:rsidRPr="004702F9">
        <w:t>From RAN1#93:</w:t>
      </w:r>
    </w:p>
    <w:p w14:paraId="7E460166" w14:textId="77777777" w:rsidR="00545DAE" w:rsidRPr="004702F9" w:rsidRDefault="00545DAE" w:rsidP="00545DAE">
      <w:pPr>
        <w:pStyle w:val="BodyText"/>
      </w:pPr>
      <w:r>
        <w:rPr>
          <w:noProof/>
        </w:rPr>
        <mc:AlternateContent>
          <mc:Choice Requires="wps">
            <w:drawing>
              <wp:inline distT="0" distB="0" distL="0" distR="0" wp14:anchorId="19C6CAD1" wp14:editId="7A5F72CA">
                <wp:extent cx="5759532" cy="1404620"/>
                <wp:effectExtent l="0" t="0" r="12700" b="228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532" cy="1404620"/>
                        </a:xfrm>
                        <a:prstGeom prst="rect">
                          <a:avLst/>
                        </a:prstGeom>
                        <a:solidFill>
                          <a:srgbClr val="FFFFFF"/>
                        </a:solidFill>
                        <a:ln w="9525">
                          <a:solidFill>
                            <a:srgbClr val="000000"/>
                          </a:solidFill>
                          <a:miter lim="800000"/>
                          <a:headEnd/>
                          <a:tailEnd/>
                        </a:ln>
                      </wps:spPr>
                      <wps:txbx>
                        <w:txbxContent>
                          <w:p w14:paraId="6533128A" w14:textId="77777777" w:rsidR="00545DAE" w:rsidRPr="00A40D81" w:rsidRDefault="00545DAE" w:rsidP="00545DAE">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735B1BEF" w14:textId="77777777" w:rsidR="00545DAE" w:rsidRPr="00A40D81" w:rsidRDefault="00545DAE" w:rsidP="00545DAE">
                            <w:pPr>
                              <w:pStyle w:val="BodyText"/>
                              <w:rPr>
                                <w:rFonts w:ascii="Calibri" w:hAnsi="Calibri"/>
                                <w:szCs w:val="20"/>
                              </w:rPr>
                            </w:pPr>
                            <w:r w:rsidRPr="00A40D81">
                              <w:rPr>
                                <w:rFonts w:ascii="Calibri" w:hAnsi="Calibri"/>
                                <w:szCs w:val="20"/>
                              </w:rPr>
                              <w:t>For RAR and msg4:</w:t>
                            </w:r>
                          </w:p>
                          <w:p w14:paraId="094B9DEF" w14:textId="77777777" w:rsidR="00545DAE" w:rsidRPr="00A40D81" w:rsidRDefault="00545DAE" w:rsidP="00545DAE">
                            <w:pPr>
                              <w:pStyle w:val="BodyText"/>
                              <w:numPr>
                                <w:ilvl w:val="0"/>
                                <w:numId w:val="26"/>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34F681E9" w14:textId="77777777" w:rsidR="00545DAE" w:rsidRPr="00A40D81" w:rsidRDefault="00545DAE" w:rsidP="00545DAE">
                            <w:pPr>
                              <w:pStyle w:val="BodyText"/>
                              <w:numPr>
                                <w:ilvl w:val="1"/>
                                <w:numId w:val="26"/>
                              </w:numPr>
                              <w:rPr>
                                <w:rFonts w:ascii="Calibri" w:hAnsi="Calibri"/>
                                <w:szCs w:val="20"/>
                              </w:rPr>
                            </w:pPr>
                            <w:r w:rsidRPr="00A40D81">
                              <w:rPr>
                                <w:rFonts w:ascii="Calibri" w:hAnsi="Calibri"/>
                                <w:szCs w:val="20"/>
                              </w:rPr>
                              <w:t>Use this table</w:t>
                            </w:r>
                          </w:p>
                          <w:p w14:paraId="6FE2A84D" w14:textId="77777777" w:rsidR="00545DAE" w:rsidRDefault="00545DAE" w:rsidP="00545DAE">
                            <w:pPr>
                              <w:pStyle w:val="BodyText"/>
                              <w:numPr>
                                <w:ilvl w:val="0"/>
                                <w:numId w:val="26"/>
                              </w:numPr>
                              <w:rPr>
                                <w:rFonts w:ascii="Calibri" w:hAnsi="Calibri"/>
                                <w:szCs w:val="20"/>
                              </w:rPr>
                            </w:pPr>
                            <w:r>
                              <w:rPr>
                                <w:rFonts w:ascii="Calibri" w:hAnsi="Calibri"/>
                                <w:szCs w:val="20"/>
                              </w:rPr>
                              <w:t>e</w:t>
                            </w:r>
                            <w:r w:rsidRPr="00A40D81">
                              <w:rPr>
                                <w:rFonts w:ascii="Calibri" w:hAnsi="Calibri"/>
                                <w:szCs w:val="20"/>
                              </w:rPr>
                              <w:t>lse</w:t>
                            </w:r>
                          </w:p>
                          <w:p w14:paraId="655F77F3" w14:textId="77777777" w:rsidR="00545DAE" w:rsidRPr="003D0473" w:rsidRDefault="00545DAE" w:rsidP="00545DAE">
                            <w:pPr>
                              <w:pStyle w:val="BodyText"/>
                              <w:numPr>
                                <w:ilvl w:val="1"/>
                                <w:numId w:val="26"/>
                              </w:numPr>
                              <w:rPr>
                                <w:rFonts w:ascii="Calibri" w:hAnsi="Calibri"/>
                                <w:szCs w:val="20"/>
                              </w:rPr>
                            </w:pPr>
                            <w:r w:rsidRPr="003D0473">
                              <w:rPr>
                                <w:rFonts w:ascii="Calibri" w:hAnsi="Calibri"/>
                                <w:szCs w:val="20"/>
                              </w:rPr>
                              <w:t>Use the default PDSCH table A</w:t>
                            </w:r>
                          </w:p>
                        </w:txbxContent>
                      </wps:txbx>
                      <wps:bodyPr rot="0" vert="horz" wrap="square" lIns="91440" tIns="45720" rIns="91440" bIns="45720" anchor="t" anchorCtr="0">
                        <a:spAutoFit/>
                      </wps:bodyPr>
                    </wps:wsp>
                  </a:graphicData>
                </a:graphic>
              </wp:inline>
            </w:drawing>
          </mc:Choice>
          <mc:Fallback>
            <w:pict>
              <v:shape w14:anchorId="19C6CAD1" id="_x0000_s1028" type="#_x0000_t202" style="width:4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">
                <v:textbox style="mso-fit-shape-to-text:t">
                  <w:txbxContent>
                    <w:p w14:paraId="6533128A" w14:textId="77777777" w:rsidR="00545DAE" w:rsidRPr="00A40D81" w:rsidRDefault="00545DAE" w:rsidP="00545DAE">
                      <w:pPr>
                        <w:rPr>
                          <w:rFonts w:ascii="Calibri" w:hAnsi="Calibri"/>
                          <w:b/>
                          <w:u w:val="single"/>
                          <w:lang w:eastAsia="x-none"/>
                        </w:rPr>
                      </w:pPr>
                      <w:r w:rsidRPr="00A40D81">
                        <w:rPr>
                          <w:rFonts w:ascii="Calibri" w:hAnsi="Calibri"/>
                          <w:b/>
                          <w:highlight w:val="green"/>
                          <w:u w:val="single"/>
                          <w:lang w:eastAsia="x-none"/>
                        </w:rPr>
                        <w:t>Agreements</w:t>
                      </w:r>
                      <w:r w:rsidRPr="00A40D81">
                        <w:rPr>
                          <w:rFonts w:ascii="Calibri" w:hAnsi="Calibri"/>
                          <w:b/>
                          <w:u w:val="single"/>
                          <w:lang w:eastAsia="x-none"/>
                        </w:rPr>
                        <w:t>:</w:t>
                      </w:r>
                    </w:p>
                    <w:p w14:paraId="735B1BEF" w14:textId="77777777" w:rsidR="00545DAE" w:rsidRPr="00A40D81" w:rsidRDefault="00545DAE" w:rsidP="00545DAE">
                      <w:pPr>
                        <w:pStyle w:val="BodyText"/>
                        <w:rPr>
                          <w:rFonts w:ascii="Calibri" w:hAnsi="Calibri"/>
                          <w:szCs w:val="20"/>
                        </w:rPr>
                      </w:pPr>
                      <w:r w:rsidRPr="00A40D81">
                        <w:rPr>
                          <w:rFonts w:ascii="Calibri" w:hAnsi="Calibri"/>
                          <w:szCs w:val="20"/>
                        </w:rPr>
                        <w:t>For RAR and msg4:</w:t>
                      </w:r>
                    </w:p>
                    <w:p w14:paraId="094B9DEF" w14:textId="77777777" w:rsidR="00545DAE" w:rsidRPr="00A40D81" w:rsidRDefault="00545DAE" w:rsidP="00545DAE">
                      <w:pPr>
                        <w:pStyle w:val="BodyText"/>
                        <w:numPr>
                          <w:ilvl w:val="0"/>
                          <w:numId w:val="26"/>
                        </w:numPr>
                        <w:rPr>
                          <w:rFonts w:ascii="Calibri" w:hAnsi="Calibri"/>
                          <w:szCs w:val="20"/>
                        </w:rPr>
                      </w:pPr>
                      <w:r w:rsidRPr="00A40D81">
                        <w:rPr>
                          <w:rFonts w:ascii="Calibri" w:hAnsi="Calibri"/>
                          <w:szCs w:val="20"/>
                        </w:rPr>
                        <w:t>if PDSCH-</w:t>
                      </w:r>
                      <w:proofErr w:type="spellStart"/>
                      <w:r w:rsidRPr="00A40D81">
                        <w:rPr>
                          <w:rFonts w:ascii="Calibri" w:hAnsi="Calibri"/>
                          <w:szCs w:val="20"/>
                        </w:rPr>
                        <w:t>ConfigCommon</w:t>
                      </w:r>
                      <w:proofErr w:type="spellEnd"/>
                      <w:r w:rsidRPr="00A40D81">
                        <w:rPr>
                          <w:rFonts w:ascii="Calibri" w:hAnsi="Calibri"/>
                          <w:szCs w:val="20"/>
                        </w:rPr>
                        <w:t xml:space="preserve"> has provided a table</w:t>
                      </w:r>
                    </w:p>
                    <w:p w14:paraId="34F681E9" w14:textId="77777777" w:rsidR="00545DAE" w:rsidRPr="00A40D81" w:rsidRDefault="00545DAE" w:rsidP="00545DAE">
                      <w:pPr>
                        <w:pStyle w:val="BodyText"/>
                        <w:numPr>
                          <w:ilvl w:val="1"/>
                          <w:numId w:val="26"/>
                        </w:numPr>
                        <w:rPr>
                          <w:rFonts w:ascii="Calibri" w:hAnsi="Calibri"/>
                          <w:szCs w:val="20"/>
                        </w:rPr>
                      </w:pPr>
                      <w:r w:rsidRPr="00A40D81">
                        <w:rPr>
                          <w:rFonts w:ascii="Calibri" w:hAnsi="Calibri"/>
                          <w:szCs w:val="20"/>
                        </w:rPr>
                        <w:t>Use this table</w:t>
                      </w:r>
                    </w:p>
                    <w:p w14:paraId="6FE2A84D" w14:textId="77777777" w:rsidR="00545DAE" w:rsidRDefault="00545DAE" w:rsidP="00545DAE">
                      <w:pPr>
                        <w:pStyle w:val="BodyText"/>
                        <w:numPr>
                          <w:ilvl w:val="0"/>
                          <w:numId w:val="26"/>
                        </w:numPr>
                        <w:rPr>
                          <w:rFonts w:ascii="Calibri" w:hAnsi="Calibri"/>
                          <w:szCs w:val="20"/>
                        </w:rPr>
                      </w:pPr>
                      <w:r>
                        <w:rPr>
                          <w:rFonts w:ascii="Calibri" w:hAnsi="Calibri"/>
                          <w:szCs w:val="20"/>
                        </w:rPr>
                        <w:t>e</w:t>
                      </w:r>
                      <w:r w:rsidRPr="00A40D81">
                        <w:rPr>
                          <w:rFonts w:ascii="Calibri" w:hAnsi="Calibri"/>
                          <w:szCs w:val="20"/>
                        </w:rPr>
                        <w:t>lse</w:t>
                      </w:r>
                    </w:p>
                    <w:p w14:paraId="655F77F3" w14:textId="77777777" w:rsidR="00545DAE" w:rsidRPr="003D0473" w:rsidRDefault="00545DAE" w:rsidP="00545DAE">
                      <w:pPr>
                        <w:pStyle w:val="BodyText"/>
                        <w:numPr>
                          <w:ilvl w:val="1"/>
                          <w:numId w:val="26"/>
                        </w:numPr>
                        <w:rPr>
                          <w:rFonts w:ascii="Calibri" w:hAnsi="Calibri"/>
                          <w:szCs w:val="20"/>
                        </w:rPr>
                      </w:pPr>
                      <w:r w:rsidRPr="003D0473">
                        <w:rPr>
                          <w:rFonts w:ascii="Calibri" w:hAnsi="Calibri"/>
                          <w:szCs w:val="20"/>
                        </w:rPr>
                        <w:t>Use the default PDSCH table A</w:t>
                      </w:r>
                    </w:p>
                  </w:txbxContent>
                </v:textbox>
                <w10:anchorlock/>
              </v:shape>
            </w:pict>
          </mc:Fallback>
        </mc:AlternateContent>
      </w:r>
    </w:p>
    <w:p w14:paraId="5EB09D7D" w14:textId="77777777" w:rsidR="00545DAE" w:rsidRDefault="00545DAE" w:rsidP="00545DAE">
      <w:pPr>
        <w:spacing w:beforeLines="50" w:before="120" w:afterLines="50" w:after="120"/>
        <w:jc w:val="both"/>
        <w:rPr>
          <w:rFonts w:eastAsia="SimSun"/>
          <w:lang w:eastAsia="zh-CN"/>
        </w:rPr>
      </w:pPr>
      <w:r w:rsidRPr="004702F9">
        <w:rPr>
          <w:rFonts w:eastAsia="SimSun"/>
          <w:lang w:eastAsia="zh-CN"/>
        </w:rPr>
        <w:t>For OSI and paging, is it currently open which table to use.</w:t>
      </w:r>
      <w:r>
        <w:rPr>
          <w:rFonts w:eastAsia="SimSun"/>
          <w:lang w:eastAsia="zh-CN"/>
        </w:rPr>
        <w:t xml:space="preserve"> Two approaches have been proposed, differing in what table to use in absence of </w:t>
      </w:r>
      <w:r>
        <w:rPr>
          <w:rFonts w:eastAsia="SimSun"/>
          <w:i/>
          <w:lang w:eastAsia="zh-CN"/>
        </w:rPr>
        <w:t>PDSCH-</w:t>
      </w:r>
      <w:proofErr w:type="spellStart"/>
      <w:r>
        <w:rPr>
          <w:rFonts w:eastAsia="SimSun"/>
          <w:i/>
          <w:lang w:eastAsia="zh-CN"/>
        </w:rPr>
        <w:t>ConfigCommon</w:t>
      </w:r>
      <w:proofErr w:type="spellEnd"/>
      <w:r>
        <w:rPr>
          <w:rFonts w:eastAsia="SimSun"/>
          <w:lang w:eastAsia="zh-CN"/>
        </w:rPr>
        <w:t>:</w:t>
      </w:r>
    </w:p>
    <w:p w14:paraId="3896B2EE" w14:textId="77777777" w:rsidR="00545DAE" w:rsidRDefault="00545DAE" w:rsidP="00545DAE">
      <w:pPr>
        <w:pStyle w:val="ListParagraph"/>
        <w:numPr>
          <w:ilvl w:val="0"/>
          <w:numId w:val="30"/>
        </w:numPr>
        <w:spacing w:beforeLines="50" w:before="120" w:afterLines="50" w:after="120"/>
        <w:jc w:val="both"/>
        <w:rPr>
          <w:rFonts w:eastAsia="SimSun"/>
          <w:lang w:eastAsia="zh-CN"/>
        </w:rPr>
      </w:pPr>
      <w:r>
        <w:rPr>
          <w:rFonts w:eastAsia="SimSun"/>
          <w:lang w:eastAsia="zh-CN"/>
        </w:rPr>
        <w:lastRenderedPageBreak/>
        <w:t>U</w:t>
      </w:r>
      <w:r w:rsidRPr="00C107A1">
        <w:rPr>
          <w:rFonts w:eastAsia="SimSun"/>
          <w:lang w:eastAsia="zh-CN"/>
        </w:rPr>
        <w:t xml:space="preserve">se </w:t>
      </w:r>
      <w:r>
        <w:rPr>
          <w:rFonts w:eastAsia="SimSun"/>
          <w:lang w:eastAsia="zh-CN"/>
        </w:rPr>
        <w:t xml:space="preserve">table A, i.e. </w:t>
      </w:r>
      <w:r w:rsidRPr="00C107A1">
        <w:rPr>
          <w:rFonts w:eastAsia="SimSun"/>
          <w:lang w:eastAsia="zh-CN"/>
        </w:rPr>
        <w:t>the same procedure as above (for a TP, see e.g. section 2 of R1-1809060)</w:t>
      </w:r>
    </w:p>
    <w:p w14:paraId="085B2B3B" w14:textId="77777777" w:rsidR="00545DAE" w:rsidRDefault="00545DAE" w:rsidP="00545DAE">
      <w:pPr>
        <w:pStyle w:val="ListParagraph"/>
        <w:numPr>
          <w:ilvl w:val="0"/>
          <w:numId w:val="30"/>
        </w:numPr>
        <w:spacing w:beforeLines="50" w:before="120" w:afterLines="50" w:after="120"/>
        <w:jc w:val="both"/>
        <w:rPr>
          <w:rFonts w:eastAsia="SimSun"/>
          <w:lang w:eastAsia="zh-CN"/>
        </w:rPr>
      </w:pPr>
      <w:r>
        <w:rPr>
          <w:rFonts w:eastAsia="SimSun"/>
          <w:lang w:eastAsia="zh-CN"/>
        </w:rPr>
        <w:t>Use the same table (A, B, or C) as used by SIB1 (for a TP, see e.g. section 2.2 of R1-1809392)</w:t>
      </w:r>
    </w:p>
    <w:p w14:paraId="2C9636F3" w14:textId="769F499D" w:rsidR="00545DAE" w:rsidRPr="00C107A1" w:rsidRDefault="000F6AE7" w:rsidP="00545DAE">
      <w:pPr>
        <w:spacing w:beforeLines="50" w:before="120" w:afterLines="50" w:after="120"/>
        <w:jc w:val="both"/>
        <w:rPr>
          <w:rFonts w:eastAsia="SimSun"/>
          <w:lang w:eastAsia="zh-CN"/>
        </w:rPr>
      </w:pPr>
      <w:r>
        <w:rPr>
          <w:rFonts w:eastAsia="SimSun"/>
          <w:b/>
          <w:lang w:eastAsia="zh-CN"/>
        </w:rPr>
        <w:t xml:space="preserve">Offline situation: </w:t>
      </w:r>
      <w:r w:rsidR="00545DAE">
        <w:rPr>
          <w:rFonts w:eastAsia="SimSun"/>
          <w:lang w:eastAsia="zh-CN"/>
        </w:rPr>
        <w:t>Discuss.</w:t>
      </w:r>
    </w:p>
    <w:p w14:paraId="128FB1BE" w14:textId="77777777" w:rsidR="00545DAE" w:rsidRPr="00545DAE" w:rsidRDefault="00545DAE" w:rsidP="00545DAE">
      <w:pPr>
        <w:pStyle w:val="BodyText"/>
        <w:rPr>
          <w:szCs w:val="20"/>
        </w:rPr>
      </w:pPr>
    </w:p>
    <w:p w14:paraId="105ABCE4" w14:textId="71662E7C" w:rsidR="00A555EA" w:rsidRPr="001E216C" w:rsidRDefault="00907875" w:rsidP="001E216C">
      <w:pPr>
        <w:pStyle w:val="Heading1"/>
      </w:pPr>
      <w:r w:rsidRPr="001E216C">
        <w:t>Interleaved VRB-to-PRB mapping for SIB1 transmission</w:t>
      </w:r>
    </w:p>
    <w:p w14:paraId="5CF384AD" w14:textId="6D26B725" w:rsidR="00907875" w:rsidRDefault="00907875" w:rsidP="00907875">
      <w:pPr>
        <w:pStyle w:val="BodyText"/>
      </w:pPr>
      <w:r>
        <w:t xml:space="preserve">The applicability of interleaved VRB-to-PRB mapping for SIB1 was discussed at RAN1#93, resulting in </w:t>
      </w:r>
    </w:p>
    <w:p w14:paraId="014CF112" w14:textId="66CA63CC" w:rsidR="00907875" w:rsidRDefault="00907875" w:rsidP="00907875">
      <w:pPr>
        <w:pStyle w:val="BodyText"/>
      </w:pPr>
      <w:r>
        <w:rPr>
          <w:noProof/>
        </w:rPr>
        <mc:AlternateContent>
          <mc:Choice Requires="wps">
            <w:drawing>
              <wp:inline distT="0" distB="0" distL="0" distR="0" wp14:anchorId="7D638350" wp14:editId="373A5153">
                <wp:extent cx="5391150" cy="4191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419100"/>
                        </a:xfrm>
                        <a:prstGeom prst="rect">
                          <a:avLst/>
                        </a:prstGeom>
                        <a:solidFill>
                          <a:srgbClr val="FFFFFF"/>
                        </a:solidFill>
                        <a:ln w="9525">
                          <a:solidFill>
                            <a:srgbClr val="000000"/>
                          </a:solidFill>
                          <a:miter lim="800000"/>
                          <a:headEnd/>
                          <a:tailEnd/>
                        </a:ln>
                      </wps:spPr>
                      <wps:txbx>
                        <w:txbxContent>
                          <w:p w14:paraId="7AC42361" w14:textId="7CBD577E" w:rsidR="008B0E04" w:rsidRDefault="008B0E04"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8B0E04" w:rsidRDefault="008B0E04"/>
                        </w:txbxContent>
                      </wps:txbx>
                      <wps:bodyPr rot="0" vert="horz" wrap="square" lIns="91440" tIns="45720" rIns="91440" bIns="45720" anchor="t" anchorCtr="0">
                        <a:noAutofit/>
                      </wps:bodyPr>
                    </wps:wsp>
                  </a:graphicData>
                </a:graphic>
              </wp:inline>
            </w:drawing>
          </mc:Choice>
          <mc:Fallback>
            <w:pict>
              <v:shape w14:anchorId="7D638350" id="_x0000_s1029" type="#_x0000_t202" style="width:424.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">
                <v:textbox>
                  <w:txbxContent>
                    <w:p w14:paraId="7AC42361" w14:textId="7CBD577E" w:rsidR="008B0E04" w:rsidRDefault="008B0E04" w:rsidP="00907875">
                      <w:pPr>
                        <w:pStyle w:val="BodyText"/>
                      </w:pPr>
                      <w:r>
                        <w:rPr>
                          <w:b/>
                        </w:rPr>
                        <w:t xml:space="preserve">Current situation: </w:t>
                      </w:r>
                      <w:r w:rsidRPr="00E80C15">
                        <w:t xml:space="preserve">different views on </w:t>
                      </w:r>
                      <w:r>
                        <w:t>whether interleaved VRB-to-PRB mapping for SIB1 should be supported. If interleaved mapping is to be supported, further specification work is needed.</w:t>
                      </w:r>
                    </w:p>
                    <w:p w14:paraId="7BDA1453" w14:textId="34D8D057" w:rsidR="008B0E04" w:rsidRDefault="008B0E04"/>
                  </w:txbxContent>
                </v:textbox>
                <w10:anchorlock/>
              </v:shape>
            </w:pict>
          </mc:Fallback>
        </mc:AlternateContent>
      </w:r>
    </w:p>
    <w:p w14:paraId="4E3204A8" w14:textId="20D7ABF2" w:rsidR="00907875" w:rsidRDefault="00907875" w:rsidP="00907875">
      <w:pPr>
        <w:pStyle w:val="BodyText"/>
      </w:pPr>
      <w:r>
        <w:t xml:space="preserve">Several contributions addressed this topic. Some contributions stated link benefits with interleaved mapping. There were also many contributions suggesting different approaches to updating the RAN1 specifications in case interleaved mapping for SIB1 should be supported. </w:t>
      </w:r>
    </w:p>
    <w:p w14:paraId="5D5F4FBC" w14:textId="77777777" w:rsidR="00561F7F" w:rsidRDefault="00561F7F" w:rsidP="00561F7F">
      <w:pPr>
        <w:pStyle w:val="BodyText"/>
      </w:pPr>
      <w:r w:rsidRPr="009C6888">
        <w:t xml:space="preserve">If </w:t>
      </w:r>
      <w:r>
        <w:t>interleaved VRB-to-PRB mapping for system information is to be supported (in addition to non-interleaved mapping), at least the following changes are needed:</w:t>
      </w:r>
    </w:p>
    <w:p w14:paraId="2C82B671" w14:textId="77777777" w:rsidR="00561F7F" w:rsidRDefault="00561F7F" w:rsidP="00561F7F">
      <w:pPr>
        <w:pStyle w:val="BodyText"/>
        <w:numPr>
          <w:ilvl w:val="0"/>
          <w:numId w:val="46"/>
        </w:numPr>
      </w:pPr>
      <w:r>
        <w:t>RB bundles and VRB interleaving should be defined across CORESET0 (instead of active BWP) when a DCI is detected in CSS</w:t>
      </w:r>
    </w:p>
    <w:p w14:paraId="2D9DCA0B" w14:textId="77777777" w:rsidR="00561F7F" w:rsidRDefault="00561F7F" w:rsidP="00561F7F">
      <w:pPr>
        <w:pStyle w:val="BodyText"/>
        <w:numPr>
          <w:ilvl w:val="1"/>
          <w:numId w:val="46"/>
        </w:numPr>
      </w:pPr>
      <w:r>
        <w:t>Usage of CORESET0 for SIB1 only and initial DL BWP for other cases?</w:t>
      </w:r>
    </w:p>
    <w:p w14:paraId="195CDC4B" w14:textId="77777777" w:rsidR="00561F7F" w:rsidRDefault="00561F7F" w:rsidP="00561F7F">
      <w:pPr>
        <w:pStyle w:val="BodyText"/>
        <w:numPr>
          <w:ilvl w:val="1"/>
          <w:numId w:val="46"/>
        </w:numPr>
      </w:pPr>
      <w:r>
        <w:t>Use the CORESET in which the DCI is detected instead of CORESET0?</w:t>
      </w:r>
    </w:p>
    <w:p w14:paraId="1A7BE9FD" w14:textId="77777777" w:rsidR="00561F7F" w:rsidRDefault="00561F7F" w:rsidP="00561F7F">
      <w:pPr>
        <w:pStyle w:val="BodyText"/>
        <w:numPr>
          <w:ilvl w:val="1"/>
          <w:numId w:val="46"/>
        </w:numPr>
      </w:pPr>
      <w:r>
        <w:t>Fixed default parameters for SIB1?</w:t>
      </w:r>
    </w:p>
    <w:p w14:paraId="1ECC3FFE" w14:textId="77777777" w:rsidR="00561F7F" w:rsidRDefault="00561F7F" w:rsidP="00561F7F">
      <w:pPr>
        <w:pStyle w:val="BodyText"/>
      </w:pPr>
    </w:p>
    <w:p w14:paraId="1CBFA5C7" w14:textId="77777777" w:rsidR="00561F7F" w:rsidRDefault="00561F7F" w:rsidP="00561F7F">
      <w:pPr>
        <w:pStyle w:val="BodyText"/>
      </w:pPr>
      <w:r>
        <w:t xml:space="preserve">Relevant </w:t>
      </w:r>
      <w:proofErr w:type="spellStart"/>
      <w:r>
        <w:t>Tdocs</w:t>
      </w:r>
      <w:proofErr w:type="spellEnd"/>
      <w:r>
        <w:t>:</w:t>
      </w:r>
    </w:p>
    <w:p w14:paraId="7F478719" w14:textId="77777777" w:rsidR="00561F7F" w:rsidRDefault="00561F7F" w:rsidP="00561F7F">
      <w:pPr>
        <w:pStyle w:val="BodyText"/>
      </w:pPr>
      <w:r>
        <w:t>R1-1808105 (Huawei), TP in R1-1809328</w:t>
      </w:r>
    </w:p>
    <w:p w14:paraId="7616D90B" w14:textId="77777777" w:rsidR="00561F7F" w:rsidRPr="006C58F6" w:rsidRDefault="00561F7F" w:rsidP="00561F7F">
      <w:pPr>
        <w:pStyle w:val="BodyText"/>
      </w:pPr>
      <w:r w:rsidRPr="00D263EA">
        <w:t>R1-1808226 (vivo)</w:t>
      </w:r>
    </w:p>
    <w:p w14:paraId="65916AB6" w14:textId="77777777" w:rsidR="00561F7F" w:rsidRDefault="00561F7F" w:rsidP="00561F7F">
      <w:pPr>
        <w:pStyle w:val="BodyText"/>
        <w:rPr>
          <w:lang w:val="en-AU"/>
        </w:rPr>
      </w:pPr>
      <w:r w:rsidRPr="00D24DDC">
        <w:rPr>
          <w:lang w:val="en-AU"/>
        </w:rPr>
        <w:t>R1-1808380</w:t>
      </w:r>
      <w:r>
        <w:rPr>
          <w:lang w:val="en-AU"/>
        </w:rPr>
        <w:t xml:space="preserve"> (CATT)</w:t>
      </w:r>
    </w:p>
    <w:p w14:paraId="16B7C1BB" w14:textId="77777777" w:rsidR="00561F7F" w:rsidRPr="00B64FED" w:rsidRDefault="00561F7F" w:rsidP="00561F7F">
      <w:pPr>
        <w:pStyle w:val="BodyText"/>
      </w:pPr>
      <w:r w:rsidRPr="00B64FED">
        <w:t>R1-1808492 (LG), includes TP</w:t>
      </w:r>
    </w:p>
    <w:p w14:paraId="228FCED8" w14:textId="77777777" w:rsidR="00561F7F" w:rsidRPr="00B64FED" w:rsidRDefault="00561F7F" w:rsidP="00561F7F">
      <w:pPr>
        <w:pStyle w:val="BodyText"/>
      </w:pPr>
      <w:r w:rsidRPr="00B64FED">
        <w:t>R1-1808808 (</w:t>
      </w:r>
      <w:proofErr w:type="spellStart"/>
      <w:r w:rsidRPr="00B64FED">
        <w:t>Spreadtrum</w:t>
      </w:r>
      <w:proofErr w:type="spellEnd"/>
      <w:r w:rsidRPr="00B64FED">
        <w:t>), i</w:t>
      </w:r>
      <w:r>
        <w:t>ncludes TP</w:t>
      </w:r>
    </w:p>
    <w:p w14:paraId="0CEC394F" w14:textId="77777777" w:rsidR="00561F7F" w:rsidRDefault="00561F7F" w:rsidP="00907875">
      <w:pPr>
        <w:pStyle w:val="BodyText"/>
      </w:pPr>
    </w:p>
    <w:p w14:paraId="631ADA5C" w14:textId="0464579A" w:rsidR="00DA2733" w:rsidRDefault="00561F7F" w:rsidP="00907875">
      <w:pPr>
        <w:pStyle w:val="BodyText"/>
      </w:pPr>
      <w:r>
        <w:rPr>
          <w:b/>
        </w:rPr>
        <w:t>Offline situation:</w:t>
      </w:r>
    </w:p>
    <w:p w14:paraId="19909B6C" w14:textId="7C4B7CC8" w:rsidR="00DA2733" w:rsidRDefault="00DA2733" w:rsidP="00DA2733">
      <w:pPr>
        <w:pStyle w:val="BodyText"/>
        <w:numPr>
          <w:ilvl w:val="0"/>
          <w:numId w:val="47"/>
        </w:numPr>
      </w:pPr>
      <w:r>
        <w:t>Non-inte</w:t>
      </w:r>
      <w:r w:rsidR="00E56839">
        <w:t>r</w:t>
      </w:r>
      <w:r>
        <w:t xml:space="preserve">leaved </w:t>
      </w:r>
      <w:r w:rsidR="002E4157">
        <w:t xml:space="preserve">mapping </w:t>
      </w:r>
      <w:r>
        <w:t>is supported</w:t>
      </w:r>
      <w:r w:rsidR="002E4157">
        <w:t xml:space="preserve"> for SIB1 (already covered in the spec)</w:t>
      </w:r>
    </w:p>
    <w:p w14:paraId="1A8FCD6D" w14:textId="425176E9" w:rsidR="00DA2733" w:rsidRDefault="002E4157" w:rsidP="00DA2733">
      <w:pPr>
        <w:pStyle w:val="BodyText"/>
        <w:numPr>
          <w:ilvl w:val="0"/>
          <w:numId w:val="47"/>
        </w:numPr>
      </w:pPr>
      <w:r>
        <w:t xml:space="preserve">Interleaved mapping for unicast transmissions </w:t>
      </w:r>
      <w:r w:rsidR="00DA2733">
        <w:t xml:space="preserve">should not </w:t>
      </w:r>
      <w:r>
        <w:t xml:space="preserve">be affected by supporting </w:t>
      </w:r>
      <w:r w:rsidR="004824D5">
        <w:t>interleaved</w:t>
      </w:r>
      <w:r>
        <w:t xml:space="preserve"> mapping for SIB1</w:t>
      </w:r>
    </w:p>
    <w:p w14:paraId="0F9B0737" w14:textId="49707C75" w:rsidR="004824D5" w:rsidRDefault="004824D5" w:rsidP="004824D5">
      <w:pPr>
        <w:pStyle w:val="BodyText"/>
        <w:numPr>
          <w:ilvl w:val="0"/>
          <w:numId w:val="47"/>
        </w:numPr>
      </w:pPr>
      <w:r>
        <w:t>Different views on the gains possible given realistic SIB1 payload sizes.</w:t>
      </w:r>
    </w:p>
    <w:p w14:paraId="7B63662C" w14:textId="4A422406" w:rsidR="004824D5" w:rsidRDefault="004824D5" w:rsidP="004824D5">
      <w:pPr>
        <w:pStyle w:val="BodyText"/>
        <w:numPr>
          <w:ilvl w:val="0"/>
          <w:numId w:val="47"/>
        </w:numPr>
      </w:pPr>
      <w:r>
        <w:t>If interleaved mapping is supported for SIB1, it should be a mandatory UE capability.</w:t>
      </w:r>
    </w:p>
    <w:p w14:paraId="666CC6AE" w14:textId="5A911804" w:rsidR="004824D5" w:rsidRDefault="004824D5" w:rsidP="004824D5">
      <w:pPr>
        <w:pStyle w:val="BodyText"/>
        <w:numPr>
          <w:ilvl w:val="0"/>
          <w:numId w:val="47"/>
        </w:numPr>
      </w:pPr>
      <w:r>
        <w:t>Proponents to develop a complete TP covering interleaved mapping for SIB</w:t>
      </w:r>
      <w:r w:rsidR="00561F7F">
        <w:t>1.</w:t>
      </w:r>
    </w:p>
    <w:p w14:paraId="1FC209A2" w14:textId="144267A4" w:rsidR="006C58F6" w:rsidRDefault="006C58F6" w:rsidP="00907875">
      <w:pPr>
        <w:pStyle w:val="BodyText"/>
      </w:pPr>
    </w:p>
    <w:p w14:paraId="5432EF63" w14:textId="77777777" w:rsidR="00545DAE" w:rsidRDefault="00545DAE" w:rsidP="00907875">
      <w:pPr>
        <w:pStyle w:val="BodyText"/>
      </w:pPr>
    </w:p>
    <w:p w14:paraId="578EACC9" w14:textId="273BEED0" w:rsidR="003455B3" w:rsidRPr="001E216C" w:rsidRDefault="003455B3" w:rsidP="001E216C">
      <w:pPr>
        <w:pStyle w:val="Heading1"/>
      </w:pPr>
      <w:r w:rsidRPr="001E216C">
        <w:t>Data rate computation</w:t>
      </w:r>
    </w:p>
    <w:p w14:paraId="060BE21D" w14:textId="5ED9F0C2" w:rsidR="00D57175" w:rsidRDefault="003455B3" w:rsidP="003455B3">
      <w:pPr>
        <w:pStyle w:val="BodyText"/>
      </w:pPr>
      <w:r>
        <w:t>The data rate supported is computed by the UE and signaled to the network according to a previously agreed formula</w:t>
      </w:r>
      <w:r w:rsidR="00D57175">
        <w:t xml:space="preserve"> (see 38.306) while the largest TB size is covered in the RAN1 specs. There seems to be two issues around this:</w:t>
      </w:r>
    </w:p>
    <w:p w14:paraId="33853460" w14:textId="77777777" w:rsidR="00D57175" w:rsidRDefault="00D57175" w:rsidP="003455B3">
      <w:pPr>
        <w:pStyle w:val="BodyText"/>
        <w:numPr>
          <w:ilvl w:val="0"/>
          <w:numId w:val="35"/>
        </w:numPr>
      </w:pPr>
      <w:r>
        <w:t>The peak rate from the formula is not in agreement with the largest RAN1 TB size</w:t>
      </w:r>
    </w:p>
    <w:p w14:paraId="2F2B82A8" w14:textId="5323F7A4" w:rsidR="00A42A50" w:rsidRDefault="00D57175" w:rsidP="003455B3">
      <w:pPr>
        <w:pStyle w:val="BodyText"/>
        <w:numPr>
          <w:ilvl w:val="0"/>
          <w:numId w:val="35"/>
        </w:numPr>
      </w:pPr>
      <w:r>
        <w:t>What overhead value to use</w:t>
      </w:r>
      <w:r w:rsidR="00FE459C">
        <w:t xml:space="preserve"> </w:t>
      </w:r>
    </w:p>
    <w:p w14:paraId="5BF99F89" w14:textId="45B9BE2E" w:rsidR="003455B3" w:rsidRDefault="00FE459C" w:rsidP="003455B3">
      <w:pPr>
        <w:pStyle w:val="BodyText"/>
      </w:pPr>
      <w:r>
        <w:lastRenderedPageBreak/>
        <w:t>Several remedies can be found in the contributions</w:t>
      </w:r>
      <w:r w:rsidR="00D57175">
        <w:t xml:space="preserve"> (e.g. R1-1808674, R1-1808755, R1-1809407).</w:t>
      </w:r>
    </w:p>
    <w:p w14:paraId="41455F3B" w14:textId="702963BF" w:rsidR="003455B3" w:rsidRDefault="003455B3" w:rsidP="003455B3">
      <w:pPr>
        <w:pStyle w:val="BodyText"/>
      </w:pPr>
      <w:r>
        <w:t>One company proposed to clarify the maximum TB size a UE is supposed to handle as a function the calculated data rate</w:t>
      </w:r>
      <w:r w:rsidR="00D57175">
        <w:t xml:space="preserve"> (</w:t>
      </w:r>
      <w:r>
        <w:t>R1-1808674</w:t>
      </w:r>
      <w:r w:rsidR="00D57175">
        <w:t>)</w:t>
      </w:r>
      <w:r>
        <w:t>.</w:t>
      </w:r>
    </w:p>
    <w:p w14:paraId="7EE484C1" w14:textId="5F1AF6EB" w:rsidR="00D57175" w:rsidRDefault="005C1FB6" w:rsidP="003455B3">
      <w:pPr>
        <w:pStyle w:val="BodyText"/>
      </w:pPr>
      <w:r>
        <w:t>Changing</w:t>
      </w:r>
      <w:r w:rsidR="00D57175">
        <w:t xml:space="preserve"> the overhead value was proposed in two contributions although with different numbers</w:t>
      </w:r>
      <w:r w:rsidR="00A41DF6">
        <w:t xml:space="preserve"> </w:t>
      </w:r>
      <w:r w:rsidR="00D57175">
        <w:t>proposed; 0.</w:t>
      </w:r>
      <w:r w:rsidR="00A41DF6">
        <w:t>0</w:t>
      </w:r>
      <w:r w:rsidR="00D57175">
        <w:t>5 (in R1-1808755</w:t>
      </w:r>
      <w:r w:rsidR="00A41DF6">
        <w:t xml:space="preserve"> although a typo stating 0.5</w:t>
      </w:r>
      <w:r w:rsidR="00D57175">
        <w:t>) or 0.037 (in R1-1809407)</w:t>
      </w:r>
    </w:p>
    <w:p w14:paraId="7291BDBF" w14:textId="519E41FB" w:rsidR="009C705D" w:rsidRDefault="00D57175" w:rsidP="003455B3">
      <w:pPr>
        <w:pStyle w:val="BodyText"/>
      </w:pPr>
      <w:r>
        <w:t>A</w:t>
      </w:r>
      <w:r w:rsidR="00FE459C">
        <w:t>llow</w:t>
      </w:r>
      <w:r>
        <w:t>ing</w:t>
      </w:r>
      <w:r w:rsidR="00FE459C">
        <w:t xml:space="preserve"> the UE to skip decoding TB sizes resulting in a peak rate larger than the formula</w:t>
      </w:r>
      <w:r>
        <w:t xml:space="preserve"> was also proposed.</w:t>
      </w:r>
    </w:p>
    <w:p w14:paraId="01F2E6FA" w14:textId="6C10B709" w:rsidR="006F710A" w:rsidRDefault="002C0FD4" w:rsidP="005C1FB6">
      <w:pPr>
        <w:pStyle w:val="BodyText"/>
      </w:pPr>
      <w:r w:rsidRPr="002C0FD4">
        <w:rPr>
          <w:b/>
        </w:rPr>
        <w:t>Observation</w:t>
      </w:r>
      <w:r>
        <w:t>:</w:t>
      </w:r>
    </w:p>
    <w:p w14:paraId="4D4FDE62" w14:textId="34777DDF" w:rsidR="008C24F5" w:rsidRDefault="008C24F5" w:rsidP="002C0FD4">
      <w:pPr>
        <w:pStyle w:val="BodyText"/>
        <w:numPr>
          <w:ilvl w:val="0"/>
          <w:numId w:val="48"/>
        </w:numPr>
      </w:pPr>
      <w:r>
        <w:t>RAN1 spec can meet the peak rates obtained from the formula in 38.306.</w:t>
      </w:r>
    </w:p>
    <w:p w14:paraId="6724AB73" w14:textId="76A6EE9E" w:rsidR="008C24F5" w:rsidRDefault="008C24F5" w:rsidP="002C0FD4">
      <w:pPr>
        <w:pStyle w:val="BodyText"/>
        <w:numPr>
          <w:ilvl w:val="0"/>
          <w:numId w:val="48"/>
        </w:numPr>
      </w:pPr>
      <w:r>
        <w:t>Different views on whether the overhead values in 38.306 can be reduced (and, if so, how much)</w:t>
      </w:r>
      <w:r w:rsidR="00866791">
        <w:t xml:space="preserve"> </w:t>
      </w:r>
      <w:r w:rsidR="00866791">
        <w:sym w:font="Wingdings" w:char="F0E0"/>
      </w:r>
      <w:r w:rsidR="00866791">
        <w:t xml:space="preserve"> no change to the 38.306 formula</w:t>
      </w:r>
      <w:r w:rsidR="004118BF">
        <w:t xml:space="preserve"> and associated values</w:t>
      </w:r>
      <w:r w:rsidR="002861A9">
        <w:t xml:space="preserve"> in Rel-15</w:t>
      </w:r>
    </w:p>
    <w:p w14:paraId="756A27B4" w14:textId="45DB3AF8" w:rsidR="008C24F5" w:rsidRDefault="008C24F5" w:rsidP="007D3F65">
      <w:pPr>
        <w:pStyle w:val="BodyText"/>
        <w:numPr>
          <w:ilvl w:val="0"/>
          <w:numId w:val="48"/>
        </w:numPr>
      </w:pPr>
      <w:r>
        <w:t xml:space="preserve">Continue offline discussion on </w:t>
      </w:r>
      <w:r w:rsidR="00276A07">
        <w:t>how the formula in 38.306 is used in the RAN1 specifications</w:t>
      </w:r>
      <w:r w:rsidR="00A70B1A">
        <w:t xml:space="preserve"> (e.g. TB size restrictions)</w:t>
      </w:r>
    </w:p>
    <w:p w14:paraId="44CCB7F1" w14:textId="77777777" w:rsidR="002C0FD4" w:rsidRDefault="002C0FD4" w:rsidP="002C0FD4">
      <w:pPr>
        <w:pStyle w:val="BodyText"/>
      </w:pPr>
    </w:p>
    <w:p w14:paraId="592109A6" w14:textId="4F1F4C26" w:rsidR="00BA2942" w:rsidRPr="001E216C" w:rsidRDefault="00BA2942" w:rsidP="001E216C">
      <w:pPr>
        <w:pStyle w:val="Heading1"/>
        <w:rPr>
          <w:lang w:eastAsia="zh-CN"/>
        </w:rPr>
      </w:pPr>
      <w:r w:rsidRPr="001E216C">
        <w:rPr>
          <w:lang w:eastAsia="zh-CN"/>
        </w:rPr>
        <w:t>Time-domain allocation and BWP switching</w:t>
      </w:r>
    </w:p>
    <w:p w14:paraId="7EB93E32" w14:textId="11532E22" w:rsidR="00BA2942" w:rsidRDefault="00BA2942" w:rsidP="00BA2942">
      <w:pPr>
        <w:pStyle w:val="BodyText"/>
        <w:rPr>
          <w:lang w:eastAsia="zh-CN"/>
        </w:rPr>
      </w:pPr>
      <w:r>
        <w:rPr>
          <w:lang w:eastAsia="zh-CN"/>
        </w:rPr>
        <w:t>In R1-1808887 it is suggested to clarify that the time-domain field applies to the target BWP in case a BWP switch is included in the DCI.</w:t>
      </w:r>
    </w:p>
    <w:p w14:paraId="69F88E65" w14:textId="77777777" w:rsidR="007A27EC" w:rsidRDefault="007A27EC" w:rsidP="007A27EC">
      <w:pPr>
        <w:spacing w:after="160" w:line="259" w:lineRule="auto"/>
        <w:jc w:val="both"/>
        <w:rPr>
          <w:b/>
        </w:rPr>
      </w:pPr>
    </w:p>
    <w:p w14:paraId="26CF3FE3" w14:textId="77D2B862" w:rsidR="007A27EC" w:rsidRPr="004273B4" w:rsidRDefault="007A27EC" w:rsidP="007A27EC">
      <w:pPr>
        <w:spacing w:after="160" w:line="259" w:lineRule="auto"/>
        <w:jc w:val="both"/>
      </w:pPr>
      <w:r w:rsidRPr="004273B4">
        <w:rPr>
          <w:b/>
        </w:rPr>
        <w:t>Note</w:t>
      </w:r>
      <w:r w:rsidRPr="004273B4">
        <w:t>: The spec text below may be further affected by msg3 discussions.</w:t>
      </w:r>
    </w:p>
    <w:p w14:paraId="3F1D9130" w14:textId="04DED325" w:rsidR="005C1FB6" w:rsidRDefault="00AB1C33" w:rsidP="00BA2942">
      <w:pPr>
        <w:pStyle w:val="BodyText"/>
        <w:rPr>
          <w:lang w:eastAsia="zh-CN"/>
        </w:rPr>
      </w:pPr>
      <w:r>
        <w:rPr>
          <w:b/>
          <w:lang w:eastAsia="zh-CN"/>
        </w:rPr>
        <w:t>Offline p</w:t>
      </w:r>
      <w:r w:rsidR="005C1FB6" w:rsidRPr="005D2D6E">
        <w:rPr>
          <w:b/>
          <w:lang w:eastAsia="zh-CN"/>
        </w:rPr>
        <w:t>roposal</w:t>
      </w:r>
      <w:r w:rsidR="005C1FB6">
        <w:rPr>
          <w:lang w:eastAsia="zh-CN"/>
        </w:rPr>
        <w:t xml:space="preserve">: </w:t>
      </w:r>
      <w:r w:rsidR="000F6AE7">
        <w:rPr>
          <w:lang w:eastAsia="zh-CN"/>
        </w:rPr>
        <w:t xml:space="preserve">Adopt the TP below for </w:t>
      </w:r>
      <w:r w:rsidR="005D2D6E">
        <w:rPr>
          <w:lang w:eastAsia="zh-CN"/>
        </w:rPr>
        <w:t>38.214</w:t>
      </w:r>
    </w:p>
    <w:p w14:paraId="69BFC117" w14:textId="1E322F17" w:rsidR="007827FB" w:rsidRDefault="007827FB" w:rsidP="00BA2942">
      <w:pPr>
        <w:pStyle w:val="BodyText"/>
        <w:rPr>
          <w:lang w:eastAsia="zh-CN"/>
        </w:rPr>
      </w:pPr>
    </w:p>
    <w:p w14:paraId="326415B3" w14:textId="77777777" w:rsidR="007827FB" w:rsidRDefault="007827FB" w:rsidP="007827FB">
      <w:pPr>
        <w:pStyle w:val="Heading4"/>
        <w:numPr>
          <w:ilvl w:val="0"/>
          <w:numId w:val="0"/>
        </w:numPr>
        <w:spacing w:before="120" w:after="180"/>
        <w:ind w:left="1304" w:hanging="1304"/>
        <w:rPr>
          <w:rFonts w:ascii="Arial" w:eastAsia="Microsoft YaHei" w:hAnsi="Arial" w:cs="Arial"/>
          <w:b w:val="0"/>
          <w:bCs w:val="0"/>
          <w:color w:val="000000"/>
          <w:szCs w:val="24"/>
        </w:rPr>
      </w:pPr>
      <w:r>
        <w:rPr>
          <w:rFonts w:ascii="Arial" w:eastAsia="Microsoft YaHei" w:hAnsi="Arial" w:cs="Arial"/>
          <w:b w:val="0"/>
          <w:bCs w:val="0"/>
          <w:color w:val="000000"/>
          <w:lang w:val="x-none"/>
        </w:rPr>
        <w:t>5.1.2.1          Resource allocation in time domain</w:t>
      </w:r>
    </w:p>
    <w:p w14:paraId="44A139C9"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7832B1FA"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The UE shall consider the </w:t>
      </w:r>
      <w:r>
        <w:rPr>
          <w:rFonts w:eastAsia="Microsoft YaHei"/>
          <w:i/>
          <w:iCs/>
          <w:color w:val="000000"/>
          <w:szCs w:val="20"/>
          <w:lang w:val="en-GB"/>
        </w:rPr>
        <w:t>S</w:t>
      </w:r>
      <w:r>
        <w:rPr>
          <w:rFonts w:eastAsia="Microsoft YaHei"/>
          <w:color w:val="000000"/>
          <w:szCs w:val="20"/>
          <w:lang w:val="en-GB"/>
        </w:rPr>
        <w:t> and </w:t>
      </w:r>
      <w:r>
        <w:rPr>
          <w:rFonts w:eastAsia="Microsoft YaHei"/>
          <w:i/>
          <w:iCs/>
          <w:color w:val="000000"/>
          <w:szCs w:val="20"/>
          <w:lang w:val="en-GB"/>
        </w:rPr>
        <w:t>L</w:t>
      </w:r>
      <w:r>
        <w:rPr>
          <w:rFonts w:eastAsia="Microsoft YaHei"/>
          <w:color w:val="000000"/>
          <w:szCs w:val="20"/>
          <w:lang w:val="en-GB"/>
        </w:rPr>
        <w:t> combinations defined in table 5.1.2.1-1 as valid PDSCH allocations:</w:t>
      </w:r>
    </w:p>
    <w:p w14:paraId="4BE2BB7B" w14:textId="77777777" w:rsidR="007827FB" w:rsidRPr="007827FB" w:rsidRDefault="007827FB" w:rsidP="007827FB">
      <w:pPr>
        <w:pStyle w:val="th0"/>
        <w:keepNext/>
        <w:jc w:val="center"/>
        <w:rPr>
          <w:rFonts w:ascii="Arial" w:eastAsia="Microsoft YaHei" w:hAnsi="Arial" w:cs="Arial"/>
          <w:b/>
          <w:bCs/>
          <w:color w:val="000000"/>
          <w:sz w:val="20"/>
          <w:szCs w:val="20"/>
          <w:lang w:val="en-US"/>
        </w:rPr>
      </w:pPr>
      <w:r>
        <w:rPr>
          <w:rFonts w:ascii="Arial" w:eastAsia="Microsoft YaHei" w:hAnsi="Arial" w:cs="Arial"/>
          <w:b/>
          <w:bCs/>
          <w:color w:val="000000"/>
          <w:sz w:val="20"/>
          <w:szCs w:val="20"/>
          <w:lang w:val="en-GB"/>
        </w:rPr>
        <w:t>Table 5.1.2.1-1: Valid </w:t>
      </w:r>
      <w:r>
        <w:rPr>
          <w:rFonts w:ascii="Arial" w:eastAsia="Microsoft YaHei" w:hAnsi="Arial" w:cs="Arial"/>
          <w:b/>
          <w:bCs/>
          <w:i/>
          <w:iCs/>
          <w:color w:val="000000"/>
          <w:sz w:val="20"/>
          <w:szCs w:val="20"/>
          <w:lang w:val="en-GB"/>
        </w:rPr>
        <w:t>S </w:t>
      </w:r>
      <w:r>
        <w:rPr>
          <w:rFonts w:ascii="Arial" w:eastAsia="Microsoft YaHei" w:hAnsi="Arial" w:cs="Arial"/>
          <w:b/>
          <w:bCs/>
          <w:color w:val="000000"/>
          <w:sz w:val="20"/>
          <w:szCs w:val="20"/>
          <w:lang w:val="en-GB"/>
        </w:rPr>
        <w:t>and </w:t>
      </w:r>
      <w:r>
        <w:rPr>
          <w:rFonts w:ascii="Arial" w:eastAsia="Microsoft YaHei" w:hAnsi="Arial" w:cs="Arial"/>
          <w:b/>
          <w:bCs/>
          <w:i/>
          <w:iCs/>
          <w:color w:val="000000"/>
          <w:sz w:val="20"/>
          <w:szCs w:val="20"/>
          <w:lang w:val="en-GB"/>
        </w:rPr>
        <w:t>L</w:t>
      </w:r>
      <w:r>
        <w:rPr>
          <w:rFonts w:ascii="Arial" w:eastAsia="Microsoft YaHei" w:hAnsi="Arial" w:cs="Arial"/>
          <w:b/>
          <w:bCs/>
          <w:color w:val="000000"/>
          <w:sz w:val="20"/>
          <w:szCs w:val="20"/>
          <w:lang w:val="en-GB"/>
        </w:rPr>
        <w:t> combinations</w:t>
      </w:r>
    </w:p>
    <w:tbl>
      <w:tblPr>
        <w:tblW w:w="0" w:type="auto"/>
        <w:jc w:val="center"/>
        <w:tblCellMar>
          <w:left w:w="0" w:type="dxa"/>
          <w:right w:w="0" w:type="dxa"/>
        </w:tblCellMar>
        <w:tblLook w:val="04A0" w:firstRow="1" w:lastRow="0" w:firstColumn="1" w:lastColumn="0" w:noHBand="0" w:noVBand="1"/>
      </w:tblPr>
      <w:tblGrid>
        <w:gridCol w:w="1470"/>
        <w:gridCol w:w="1072"/>
        <w:gridCol w:w="1094"/>
        <w:gridCol w:w="1560"/>
        <w:gridCol w:w="1093"/>
        <w:gridCol w:w="1094"/>
        <w:gridCol w:w="1669"/>
      </w:tblGrid>
      <w:tr w:rsidR="007827FB" w14:paraId="74C129BB" w14:textId="77777777" w:rsidTr="007827FB">
        <w:trPr>
          <w:jc w:val="center"/>
        </w:trPr>
        <w:tc>
          <w:tcPr>
            <w:tcW w:w="158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F3AAB"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PDSCH mapping type</w:t>
            </w:r>
          </w:p>
        </w:tc>
        <w:tc>
          <w:tcPr>
            <w:tcW w:w="394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A9BEC"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Normal cyclic prefix</w:t>
            </w:r>
          </w:p>
        </w:tc>
        <w:tc>
          <w:tcPr>
            <w:tcW w:w="410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C727E"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Extended cyclic prefix</w:t>
            </w:r>
          </w:p>
        </w:tc>
      </w:tr>
      <w:tr w:rsidR="007827FB" w14:paraId="20DF0333" w14:textId="77777777" w:rsidTr="007827F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6AE298" w14:textId="77777777" w:rsidR="007827FB" w:rsidRDefault="007827FB">
            <w:pPr>
              <w:rPr>
                <w:rFonts w:ascii="Arial" w:eastAsia="Microsoft YaHei" w:hAnsi="Arial" w:cs="Arial"/>
                <w:b/>
                <w:bCs/>
                <w:color w:val="000000"/>
                <w:sz w:val="18"/>
                <w:szCs w:val="18"/>
              </w:rPr>
            </w:pP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C83BE34"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524BAB1"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L</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3D1ADE0F"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S+L</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4AC5C369"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E66472"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L</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64A81FF6"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S+L</w:t>
            </w:r>
          </w:p>
        </w:tc>
      </w:tr>
      <w:tr w:rsidR="007827FB" w14:paraId="5F2A5245" w14:textId="77777777" w:rsidTr="007827FB">
        <w:trPr>
          <w:jc w:val="center"/>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A8569"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Type A</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2B2CC45E"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{0,1,2,3}</w:t>
            </w:r>
          </w:p>
          <w:p w14:paraId="6F761EF7"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(Note 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8EDB40"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3,…</w:t>
            </w:r>
            <w:proofErr w:type="gramEnd"/>
            <w:r>
              <w:rPr>
                <w:rFonts w:ascii="Arial" w:eastAsia="Microsoft YaHei" w:hAnsi="Arial" w:cs="Arial"/>
                <w:color w:val="000000"/>
                <w:sz w:val="18"/>
                <w:szCs w:val="18"/>
                <w:lang w:val="en-GB"/>
              </w:rPr>
              <w:t>,14}</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007DE0EC"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3,…</w:t>
            </w:r>
            <w:proofErr w:type="gramEnd"/>
            <w:r>
              <w:rPr>
                <w:rFonts w:ascii="Arial" w:eastAsia="Microsoft YaHei" w:hAnsi="Arial" w:cs="Arial"/>
                <w:color w:val="000000"/>
                <w:sz w:val="18"/>
                <w:szCs w:val="18"/>
                <w:lang w:val="en-GB"/>
              </w:rPr>
              <w:t>,14}</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782A79D3"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{0,1,2,3}</w:t>
            </w:r>
          </w:p>
          <w:p w14:paraId="1090876C"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(Note 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A7EB5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3,…</w:t>
            </w:r>
            <w:proofErr w:type="gramEnd"/>
            <w:r>
              <w:rPr>
                <w:rFonts w:ascii="Arial" w:eastAsia="Microsoft YaHei" w:hAnsi="Arial" w:cs="Arial"/>
                <w:color w:val="000000"/>
                <w:sz w:val="18"/>
                <w:szCs w:val="18"/>
                <w:lang w:val="en-GB"/>
              </w:rPr>
              <w:t>,12}</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2BFB34EE"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3,…</w:t>
            </w:r>
            <w:proofErr w:type="gramEnd"/>
            <w:r>
              <w:rPr>
                <w:rFonts w:ascii="Arial" w:eastAsia="Microsoft YaHei" w:hAnsi="Arial" w:cs="Arial"/>
                <w:color w:val="000000"/>
                <w:sz w:val="18"/>
                <w:szCs w:val="18"/>
                <w:lang w:val="en-GB"/>
              </w:rPr>
              <w:t>,12}</w:t>
            </w:r>
          </w:p>
        </w:tc>
      </w:tr>
      <w:tr w:rsidR="007827FB" w14:paraId="7332AF31" w14:textId="77777777" w:rsidTr="007827FB">
        <w:trPr>
          <w:jc w:val="center"/>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309AA"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Type B</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0AB6AE7B"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0,…</w:t>
            </w:r>
            <w:proofErr w:type="gramEnd"/>
            <w:r>
              <w:rPr>
                <w:rFonts w:ascii="Arial" w:eastAsia="Microsoft YaHei" w:hAnsi="Arial" w:cs="Arial"/>
                <w:color w:val="000000"/>
                <w:sz w:val="18"/>
                <w:szCs w:val="18"/>
                <w:lang w:val="en-GB"/>
              </w:rPr>
              <w:t>,12}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50519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{2,4,7}</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2D55F9F3"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2,…</w:t>
            </w:r>
            <w:proofErr w:type="gramEnd"/>
            <w:r>
              <w:rPr>
                <w:rFonts w:ascii="Arial" w:eastAsia="Microsoft YaHei" w:hAnsi="Arial" w:cs="Arial"/>
                <w:color w:val="000000"/>
                <w:sz w:val="18"/>
                <w:szCs w:val="18"/>
                <w:lang w:val="en-GB"/>
              </w:rPr>
              <w:t>,14}</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5662A3B0"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0,…</w:t>
            </w:r>
            <w:proofErr w:type="gramEnd"/>
            <w:r>
              <w:rPr>
                <w:rFonts w:ascii="Arial" w:eastAsia="Microsoft YaHei" w:hAnsi="Arial" w:cs="Arial"/>
                <w:color w:val="000000"/>
                <w:sz w:val="18"/>
                <w:szCs w:val="18"/>
                <w:lang w:val="en-GB"/>
              </w:rPr>
              <w:t>,10}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2E6A8F"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{2,4,6}</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CBABEB4"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2,…</w:t>
            </w:r>
            <w:proofErr w:type="gramEnd"/>
            <w:r>
              <w:rPr>
                <w:rFonts w:ascii="Arial" w:eastAsia="Microsoft YaHei" w:hAnsi="Arial" w:cs="Arial"/>
                <w:color w:val="000000"/>
                <w:sz w:val="18"/>
                <w:szCs w:val="18"/>
                <w:lang w:val="en-GB"/>
              </w:rPr>
              <w:t>,12}</w:t>
            </w:r>
          </w:p>
        </w:tc>
      </w:tr>
      <w:tr w:rsidR="007827FB" w14:paraId="64D89E9C" w14:textId="77777777" w:rsidTr="007827FB">
        <w:trPr>
          <w:jc w:val="center"/>
        </w:trPr>
        <w:tc>
          <w:tcPr>
            <w:tcW w:w="9629"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7E6A7" w14:textId="77777777" w:rsidR="007827FB" w:rsidRPr="007827FB" w:rsidRDefault="007827FB">
            <w:pPr>
              <w:pStyle w:val="tan0"/>
              <w:keepNext/>
              <w:ind w:left="851" w:hanging="851"/>
              <w:rPr>
                <w:rFonts w:ascii="Arial" w:eastAsia="Microsoft YaHei" w:hAnsi="Arial" w:cs="Arial"/>
                <w:color w:val="000000"/>
                <w:sz w:val="18"/>
                <w:szCs w:val="18"/>
                <w:lang w:val="en-US"/>
              </w:rPr>
            </w:pPr>
            <w:r>
              <w:rPr>
                <w:rFonts w:ascii="Arial" w:eastAsia="Microsoft YaHei" w:hAnsi="Arial" w:cs="Arial"/>
                <w:color w:val="000000"/>
                <w:sz w:val="18"/>
                <w:szCs w:val="18"/>
                <w:lang w:val="x-none"/>
              </w:rPr>
              <w:t>Note 1:      S = 3 is applicable  only if </w:t>
            </w:r>
            <w:r>
              <w:rPr>
                <w:rFonts w:ascii="Arial" w:eastAsia="Microsoft YaHei" w:hAnsi="Arial" w:cs="Arial"/>
                <w:i/>
                <w:iCs/>
                <w:color w:val="000000"/>
                <w:sz w:val="18"/>
                <w:szCs w:val="18"/>
                <w:lang w:val="x-none"/>
              </w:rPr>
              <w:t>dmrs-TypeA-Posiition</w:t>
            </w:r>
            <w:r>
              <w:rPr>
                <w:rFonts w:ascii="Arial" w:eastAsia="Microsoft YaHei" w:hAnsi="Arial" w:cs="Arial"/>
                <w:color w:val="000000"/>
                <w:sz w:val="18"/>
                <w:szCs w:val="18"/>
                <w:lang w:val="x-none"/>
              </w:rPr>
              <w:t> = 3</w:t>
            </w:r>
          </w:p>
        </w:tc>
      </w:tr>
    </w:tbl>
    <w:p w14:paraId="6549AFF2"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 </w:t>
      </w:r>
    </w:p>
    <w:p w14:paraId="56EFB89F" w14:textId="1D56C59A" w:rsidR="007827FB" w:rsidRDefault="007827FB" w:rsidP="007827FB">
      <w:pPr>
        <w:spacing w:before="100" w:beforeAutospacing="1" w:after="100" w:afterAutospacing="1"/>
        <w:jc w:val="both"/>
        <w:rPr>
          <w:rFonts w:eastAsia="Microsoft YaHei"/>
          <w:color w:val="000000"/>
          <w:szCs w:val="20"/>
        </w:rPr>
      </w:pPr>
      <w:r>
        <w:rPr>
          <w:rFonts w:eastAsia="Microsoft YaHei"/>
          <w:color w:val="FF0000"/>
          <w:szCs w:val="20"/>
          <w:u w:val="single"/>
          <w:lang w:val="en-GB"/>
        </w:rPr>
        <w:t xml:space="preserve">If a UE does not support active BWP change via DCI or the </w:t>
      </w:r>
      <w:proofErr w:type="spellStart"/>
      <w:r>
        <w:rPr>
          <w:rFonts w:eastAsia="Microsoft YaHei"/>
          <w:color w:val="FF0000"/>
          <w:szCs w:val="20"/>
          <w:u w:val="single"/>
          <w:lang w:val="en-GB"/>
        </w:rPr>
        <w:t>bitwidth</w:t>
      </w:r>
      <w:proofErr w:type="spellEnd"/>
      <w:r>
        <w:rPr>
          <w:rFonts w:eastAsia="Microsoft YaHei"/>
          <w:color w:val="FF0000"/>
          <w:szCs w:val="20"/>
          <w:u w:val="single"/>
          <w:lang w:val="en-GB"/>
        </w:rPr>
        <w:t xml:space="preserve"> of bandwidth part indicator field in the scheduling DCI is 0, the slot and symbol indexing for downlink time-domain resource allocation is determined based on numerology of the UE's active bandwidth part. If</w:t>
      </w:r>
      <w:r>
        <w:rPr>
          <w:rFonts w:eastAsia="Microsoft YaHei"/>
          <w:color w:val="FF0000"/>
          <w:szCs w:val="20"/>
          <w:u w:val="single"/>
          <w:shd w:val="clear" w:color="auto" w:fill="FFFFFF"/>
          <w:lang w:val="en-GB"/>
        </w:rPr>
        <w:t xml:space="preserve"> a UE supports active BWP change via DCI and the </w:t>
      </w:r>
      <w:proofErr w:type="spellStart"/>
      <w:r>
        <w:rPr>
          <w:rFonts w:eastAsia="Microsoft YaHei"/>
          <w:color w:val="FF0000"/>
          <w:szCs w:val="20"/>
          <w:u w:val="single"/>
          <w:shd w:val="clear" w:color="auto" w:fill="FFFFFF"/>
          <w:lang w:val="en-GB"/>
        </w:rPr>
        <w:t>bitwidth</w:t>
      </w:r>
      <w:proofErr w:type="spellEnd"/>
      <w:r>
        <w:rPr>
          <w:rFonts w:eastAsia="Microsoft YaHei"/>
          <w:color w:val="FF0000"/>
          <w:szCs w:val="20"/>
          <w:u w:val="single"/>
          <w:shd w:val="clear" w:color="auto" w:fill="FFFFFF"/>
          <w:lang w:val="en-GB"/>
        </w:rPr>
        <w:t xml:space="preserve"> of bandwidth part indicator field in the scheduling DCI is not 0, the slot and symbol indexing for downlink time-domain resource allocation is determined based on numerology of the UE's bandwidth part indicated by bandwidth part indicator field value in the DCI.</w:t>
      </w:r>
    </w:p>
    <w:p w14:paraId="458A8035" w14:textId="77777777" w:rsidR="007827FB" w:rsidRDefault="007827FB" w:rsidP="007827FB">
      <w:pPr>
        <w:spacing w:before="100" w:beforeAutospacing="1" w:after="100" w:afterAutospacing="1"/>
        <w:jc w:val="both"/>
        <w:rPr>
          <w:rFonts w:eastAsia="Microsoft YaHei"/>
          <w:color w:val="000000"/>
          <w:szCs w:val="20"/>
        </w:rPr>
      </w:pPr>
      <w:r>
        <w:rPr>
          <w:rFonts w:eastAsia="Microsoft YaHei"/>
          <w:color w:val="000000"/>
          <w:szCs w:val="20"/>
          <w:lang w:val="en-GB"/>
        </w:rPr>
        <w:t>When the UE is configured with </w:t>
      </w:r>
      <w:proofErr w:type="spellStart"/>
      <w:r>
        <w:rPr>
          <w:rFonts w:eastAsia="Microsoft YaHei"/>
          <w:i/>
          <w:iCs/>
          <w:color w:val="000000"/>
          <w:szCs w:val="20"/>
          <w:lang w:val="en-GB"/>
        </w:rPr>
        <w:t>aggregationF</w:t>
      </w:r>
      <w:r>
        <w:rPr>
          <w:rFonts w:eastAsia="Microsoft YaHei"/>
          <w:color w:val="000000"/>
          <w:szCs w:val="20"/>
          <w:lang w:val="en-GB"/>
        </w:rPr>
        <w:t>actorDL</w:t>
      </w:r>
      <w:proofErr w:type="spellEnd"/>
      <w:r>
        <w:rPr>
          <w:rFonts w:eastAsia="Microsoft YaHei"/>
          <w:color w:val="000000"/>
          <w:szCs w:val="20"/>
          <w:lang w:val="en-GB"/>
        </w:rPr>
        <w:t xml:space="preserve"> &gt; 1, the same symbol allocation is applied across the </w:t>
      </w:r>
      <w:proofErr w:type="spellStart"/>
      <w:r>
        <w:rPr>
          <w:rFonts w:eastAsia="Microsoft YaHei"/>
          <w:i/>
          <w:iCs/>
          <w:color w:val="000000"/>
          <w:szCs w:val="20"/>
          <w:lang w:val="en-GB"/>
        </w:rPr>
        <w:t>aggregationFactorDL</w:t>
      </w:r>
      <w:proofErr w:type="spellEnd"/>
      <w:r>
        <w:rPr>
          <w:rFonts w:eastAsia="Microsoft YaHei"/>
          <w:color w:val="000000"/>
          <w:szCs w:val="20"/>
          <w:lang w:val="en-GB"/>
        </w:rPr>
        <w:t> consecutive slots. The UE may expect that the TB is repeated within each symbol allocation among each of the </w:t>
      </w:r>
      <w:proofErr w:type="spellStart"/>
      <w:r>
        <w:rPr>
          <w:rFonts w:eastAsia="Microsoft YaHei"/>
          <w:i/>
          <w:iCs/>
          <w:color w:val="000000"/>
          <w:szCs w:val="20"/>
          <w:lang w:val="en-GB"/>
        </w:rPr>
        <w:t>aggregationFactorDL</w:t>
      </w:r>
      <w:proofErr w:type="spellEnd"/>
      <w:r>
        <w:rPr>
          <w:rFonts w:eastAsia="Microsoft YaHei"/>
          <w:color w:val="000000"/>
          <w:szCs w:val="20"/>
          <w:lang w:val="en-GB"/>
        </w:rPr>
        <w:t> consecutive slots and the PDSCH is limited to a single transmission layer. The redundancy version to be applied on the </w:t>
      </w:r>
      <w:r>
        <w:rPr>
          <w:rFonts w:eastAsia="Microsoft YaHei"/>
          <w:i/>
          <w:iCs/>
          <w:color w:val="000000"/>
          <w:szCs w:val="20"/>
          <w:lang w:val="en-GB"/>
        </w:rPr>
        <w:t>n</w:t>
      </w:r>
      <w:r>
        <w:rPr>
          <w:rFonts w:eastAsia="Microsoft YaHei"/>
          <w:color w:val="000000"/>
          <w:szCs w:val="20"/>
          <w:vertAlign w:val="superscript"/>
          <w:lang w:val="en-GB"/>
        </w:rPr>
        <w:t>th</w:t>
      </w:r>
      <w:r>
        <w:rPr>
          <w:rFonts w:eastAsia="Microsoft YaHei"/>
          <w:color w:val="000000"/>
          <w:szCs w:val="20"/>
          <w:lang w:val="en-GB"/>
        </w:rPr>
        <w:t> transmission occasion of the TB is determined according to table 5.1.2.1-2. </w:t>
      </w:r>
    </w:p>
    <w:p w14:paraId="6D653FED"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60525CA9" w14:textId="77777777" w:rsidR="007827FB" w:rsidRDefault="007827FB" w:rsidP="007827FB">
      <w:pPr>
        <w:pStyle w:val="Heading4"/>
        <w:numPr>
          <w:ilvl w:val="0"/>
          <w:numId w:val="0"/>
        </w:numPr>
        <w:spacing w:before="120" w:after="180"/>
        <w:ind w:left="1304" w:hanging="1304"/>
        <w:rPr>
          <w:rFonts w:ascii="Arial" w:eastAsia="Microsoft YaHei" w:hAnsi="Arial" w:cs="Arial"/>
          <w:b w:val="0"/>
          <w:bCs w:val="0"/>
          <w:color w:val="000000"/>
          <w:sz w:val="24"/>
          <w:szCs w:val="24"/>
        </w:rPr>
      </w:pPr>
      <w:r>
        <w:rPr>
          <w:rFonts w:ascii="Arial" w:eastAsia="Microsoft YaHei" w:hAnsi="Arial" w:cs="Arial"/>
          <w:b w:val="0"/>
          <w:bCs w:val="0"/>
          <w:color w:val="000000"/>
          <w:lang w:val="x-none"/>
        </w:rPr>
        <w:lastRenderedPageBreak/>
        <w:t>5.1.2.2            Resource allocation in frequency domain</w:t>
      </w:r>
    </w:p>
    <w:p w14:paraId="52B99915"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3532A4BA" w14:textId="269B86EA"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For a PDSCH scheduled otherwise, if </w:t>
      </w:r>
      <w:r w:rsidR="00AB1C33">
        <w:rPr>
          <w:rFonts w:eastAsia="Microsoft YaHei"/>
          <w:color w:val="FF0000"/>
          <w:szCs w:val="20"/>
          <w:u w:val="single"/>
          <w:lang w:val="en-GB"/>
        </w:rPr>
        <w:t xml:space="preserve">a UE does not support active BWP change via DCI </w:t>
      </w:r>
      <w:r w:rsidR="00AB1C33">
        <w:rPr>
          <w:rFonts w:eastAsia="Microsoft YaHei"/>
          <w:color w:val="FF0000"/>
          <w:szCs w:val="20"/>
          <w:u w:val="single"/>
          <w:lang w:val="en-GB"/>
        </w:rPr>
        <w:t xml:space="preserve">or </w:t>
      </w:r>
      <w:r w:rsidR="007A27EC">
        <w:rPr>
          <w:rFonts w:eastAsia="Microsoft YaHei"/>
          <w:color w:val="FF0000"/>
          <w:szCs w:val="20"/>
          <w:u w:val="single"/>
          <w:lang w:val="en-GB"/>
        </w:rPr>
        <w:t xml:space="preserve">the </w:t>
      </w:r>
      <w:proofErr w:type="spellStart"/>
      <w:r w:rsidR="007A27EC">
        <w:rPr>
          <w:rFonts w:eastAsia="Microsoft YaHei"/>
          <w:color w:val="FF0000"/>
          <w:szCs w:val="20"/>
          <w:u w:val="single"/>
          <w:lang w:val="en-GB"/>
        </w:rPr>
        <w:t>bitwidth</w:t>
      </w:r>
      <w:proofErr w:type="spellEnd"/>
      <w:r w:rsidR="007A27EC">
        <w:rPr>
          <w:rFonts w:eastAsia="Microsoft YaHei"/>
          <w:color w:val="FF0000"/>
          <w:szCs w:val="20"/>
          <w:u w:val="single"/>
          <w:lang w:val="en-GB"/>
        </w:rPr>
        <w:t xml:space="preserve"> of bandwidth part indicator field in the scheduling DCI is 0,</w:t>
      </w:r>
      <w:r>
        <w:rPr>
          <w:rFonts w:eastAsia="Microsoft YaHei"/>
          <w:color w:val="FF0000"/>
          <w:szCs w:val="20"/>
          <w:u w:val="single"/>
          <w:lang w:val="en-GB"/>
        </w:rPr>
        <w:t> </w:t>
      </w:r>
      <w:r>
        <w:rPr>
          <w:rFonts w:eastAsia="Microsoft YaHei"/>
          <w:strike/>
          <w:color w:val="FF0000"/>
          <w:szCs w:val="20"/>
          <w:u w:val="single"/>
          <w:lang w:val="en-GB"/>
        </w:rPr>
        <w:t>a </w:t>
      </w:r>
      <w:r>
        <w:rPr>
          <w:rFonts w:eastAsia="Microsoft YaHei"/>
          <w:strike/>
          <w:color w:val="FF0000"/>
          <w:szCs w:val="20"/>
          <w:lang w:val="en-GB"/>
        </w:rPr>
        <w:t>bandwidth part indicator field is not configured in the scheduling DCI,</w:t>
      </w:r>
      <w:r>
        <w:rPr>
          <w:rFonts w:eastAsia="Microsoft YaHei"/>
          <w:color w:val="000000"/>
          <w:szCs w:val="20"/>
          <w:lang w:val="en-GB"/>
        </w:rPr>
        <w:t xml:space="preserve"> the RB indexing for downlink type 0 and type 1 resource allocation is determined within the UE's active bandwidth part. </w:t>
      </w:r>
      <w:proofErr w:type="gramStart"/>
      <w:r>
        <w:rPr>
          <w:rFonts w:eastAsia="Microsoft YaHei"/>
          <w:color w:val="000000"/>
          <w:szCs w:val="20"/>
          <w:lang w:val="en-GB"/>
        </w:rPr>
        <w:t>If</w:t>
      </w:r>
      <w:r>
        <w:rPr>
          <w:rFonts w:eastAsia="Microsoft YaHei"/>
          <w:color w:val="FF0000"/>
          <w:szCs w:val="20"/>
          <w:u w:val="single"/>
          <w:lang w:val="en-GB"/>
        </w:rPr>
        <w:t> </w:t>
      </w:r>
      <w:r>
        <w:rPr>
          <w:rFonts w:eastAsia="Microsoft YaHei"/>
          <w:color w:val="FF0000"/>
          <w:szCs w:val="20"/>
          <w:u w:val="single"/>
          <w:shd w:val="clear" w:color="auto" w:fill="FFFFFF"/>
          <w:lang w:val="en-GB"/>
        </w:rPr>
        <w:t xml:space="preserve"> </w:t>
      </w:r>
      <w:r w:rsidR="00AB1C33">
        <w:rPr>
          <w:rFonts w:eastAsia="Microsoft YaHei"/>
          <w:color w:val="FF0000"/>
          <w:szCs w:val="20"/>
          <w:u w:val="single"/>
          <w:shd w:val="clear" w:color="auto" w:fill="FFFFFF"/>
          <w:lang w:val="en-GB"/>
        </w:rPr>
        <w:t>a</w:t>
      </w:r>
      <w:proofErr w:type="gramEnd"/>
      <w:r w:rsidR="00AB1C33">
        <w:rPr>
          <w:rFonts w:eastAsia="Microsoft YaHei"/>
          <w:color w:val="FF0000"/>
          <w:szCs w:val="20"/>
          <w:u w:val="single"/>
          <w:shd w:val="clear" w:color="auto" w:fill="FFFFFF"/>
          <w:lang w:val="en-GB"/>
        </w:rPr>
        <w:t xml:space="preserve"> UE supports active BWP change via DCI and</w:t>
      </w:r>
      <w:r w:rsidR="00AB1C33">
        <w:rPr>
          <w:rFonts w:eastAsia="Microsoft YaHei"/>
          <w:color w:val="FF0000"/>
          <w:szCs w:val="20"/>
          <w:u w:val="single"/>
          <w:shd w:val="clear" w:color="auto" w:fill="FFFFFF"/>
          <w:lang w:val="en-GB"/>
        </w:rPr>
        <w:t xml:space="preserve"> </w:t>
      </w:r>
      <w:proofErr w:type="spellStart"/>
      <w:r>
        <w:rPr>
          <w:rFonts w:eastAsia="Microsoft YaHei"/>
          <w:color w:val="FF0000"/>
          <w:szCs w:val="20"/>
          <w:u w:val="single"/>
          <w:shd w:val="clear" w:color="auto" w:fill="FFFFFF"/>
          <w:lang w:val="en-GB"/>
        </w:rPr>
        <w:t>bitwidth</w:t>
      </w:r>
      <w:proofErr w:type="spellEnd"/>
      <w:r>
        <w:rPr>
          <w:rFonts w:eastAsia="Microsoft YaHei"/>
          <w:color w:val="FF0000"/>
          <w:szCs w:val="20"/>
          <w:u w:val="single"/>
          <w:shd w:val="clear" w:color="auto" w:fill="FFFFFF"/>
          <w:lang w:val="en-GB"/>
        </w:rPr>
        <w:t xml:space="preserve"> of bandwidth part indicator field in the scheduling DCI is not 0</w:t>
      </w:r>
      <w:r>
        <w:rPr>
          <w:rFonts w:eastAsia="Microsoft YaHei"/>
          <w:color w:val="FF0000"/>
          <w:szCs w:val="20"/>
          <w:u w:val="single"/>
          <w:lang w:val="en-GB"/>
        </w:rPr>
        <w:t>, </w:t>
      </w:r>
      <w:r>
        <w:rPr>
          <w:rFonts w:eastAsia="Microsoft YaHei"/>
          <w:strike/>
          <w:color w:val="FF0000"/>
          <w:szCs w:val="20"/>
          <w:lang w:val="en-GB"/>
        </w:rPr>
        <w:t>a bandwidth part indicator field is configured in the scheduling DCI,</w:t>
      </w:r>
      <w:r>
        <w:rPr>
          <w:rFonts w:eastAsia="Microsoft YaHei"/>
          <w:color w:val="000000"/>
          <w:szCs w:val="20"/>
          <w:lang w:val="en-GB"/>
        </w:rPr>
        <w:t> the RB indexing for downlink type 0 and type 1 resource allocation is determined within the UE's bandwidth part indicated by bandwidth part indicator field value in the DCI. The UE shall upon detection of PDCCH intended for the UE determine first the downlink carrier bandwidth part and then the resource allocation within the bandwidth part.</w:t>
      </w:r>
    </w:p>
    <w:p w14:paraId="72E65533"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095F795F" w14:textId="77777777" w:rsidR="007827FB" w:rsidRDefault="007827FB" w:rsidP="007827FB">
      <w:pPr>
        <w:pStyle w:val="Heading4"/>
        <w:numPr>
          <w:ilvl w:val="0"/>
          <w:numId w:val="0"/>
        </w:numPr>
        <w:spacing w:before="120" w:after="180"/>
        <w:ind w:left="1304" w:hanging="1304"/>
        <w:rPr>
          <w:rFonts w:ascii="Arial" w:eastAsia="Microsoft YaHei" w:hAnsi="Arial" w:cs="Arial"/>
          <w:b w:val="0"/>
          <w:bCs w:val="0"/>
          <w:color w:val="000000"/>
          <w:sz w:val="24"/>
          <w:szCs w:val="24"/>
        </w:rPr>
      </w:pPr>
      <w:r>
        <w:rPr>
          <w:rFonts w:ascii="Arial" w:eastAsia="Microsoft YaHei" w:hAnsi="Arial" w:cs="Arial"/>
          <w:b w:val="0"/>
          <w:bCs w:val="0"/>
          <w:color w:val="000000"/>
          <w:lang w:val="x-none"/>
        </w:rPr>
        <w:t>6.1.2.1            Resource allocation in time domain</w:t>
      </w:r>
    </w:p>
    <w:p w14:paraId="2EBFDE18" w14:textId="77777777" w:rsidR="007827FB" w:rsidRPr="004657A2" w:rsidRDefault="007827FB" w:rsidP="007827FB">
      <w:pPr>
        <w:pStyle w:val="b11"/>
        <w:ind w:left="568" w:hanging="284"/>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x-none"/>
        </w:rPr>
        <w:t>……</w:t>
      </w:r>
    </w:p>
    <w:p w14:paraId="11B81B7C" w14:textId="77777777" w:rsidR="007827FB" w:rsidRPr="007827FB" w:rsidRDefault="007827FB" w:rsidP="007827FB">
      <w:pPr>
        <w:pStyle w:val="b11"/>
        <w:ind w:left="568" w:hanging="284"/>
        <w:rPr>
          <w:rFonts w:ascii="Times New Roman" w:eastAsia="Microsoft YaHei" w:hAnsi="Times New Roman" w:cs="Times New Roman"/>
          <w:color w:val="000000"/>
          <w:sz w:val="20"/>
          <w:szCs w:val="20"/>
          <w:lang w:val="en-US"/>
        </w:rPr>
      </w:pPr>
      <w:r>
        <w:rPr>
          <w:rFonts w:ascii="Times New Roman" w:eastAsia="Microsoft YaHei" w:hAnsi="Times New Roman" w:cs="Times New Roman"/>
          <w:color w:val="000000"/>
          <w:sz w:val="20"/>
          <w:szCs w:val="20"/>
          <w:lang w:val="x-none"/>
        </w:rPr>
        <w:t>The UE shall consider the </w:t>
      </w:r>
      <w:r>
        <w:rPr>
          <w:rFonts w:ascii="Times New Roman" w:eastAsia="Microsoft YaHei" w:hAnsi="Times New Roman" w:cs="Times New Roman"/>
          <w:i/>
          <w:iCs/>
          <w:color w:val="000000"/>
          <w:sz w:val="20"/>
          <w:szCs w:val="20"/>
          <w:lang w:val="x-none"/>
        </w:rPr>
        <w:t>S</w:t>
      </w:r>
      <w:r>
        <w:rPr>
          <w:rFonts w:ascii="Times New Roman" w:eastAsia="Microsoft YaHei" w:hAnsi="Times New Roman" w:cs="Times New Roman"/>
          <w:color w:val="000000"/>
          <w:sz w:val="20"/>
          <w:szCs w:val="20"/>
          <w:lang w:val="x-none"/>
        </w:rPr>
        <w:t> and </w:t>
      </w:r>
      <w:r>
        <w:rPr>
          <w:rFonts w:ascii="Times New Roman" w:eastAsia="Microsoft YaHei" w:hAnsi="Times New Roman" w:cs="Times New Roman"/>
          <w:i/>
          <w:iCs/>
          <w:color w:val="000000"/>
          <w:sz w:val="20"/>
          <w:szCs w:val="20"/>
          <w:lang w:val="x-none"/>
        </w:rPr>
        <w:t>L</w:t>
      </w:r>
      <w:r>
        <w:rPr>
          <w:rFonts w:ascii="Times New Roman" w:eastAsia="Microsoft YaHei" w:hAnsi="Times New Roman" w:cs="Times New Roman"/>
          <w:color w:val="000000"/>
          <w:sz w:val="20"/>
          <w:szCs w:val="20"/>
          <w:lang w:val="x-none"/>
        </w:rPr>
        <w:t> combinations defined in table 6.1.2.1-1 as valid PUSCH allocations</w:t>
      </w:r>
    </w:p>
    <w:p w14:paraId="5F031293" w14:textId="77777777" w:rsidR="007827FB" w:rsidRPr="007827FB" w:rsidRDefault="007827FB" w:rsidP="007827FB">
      <w:pPr>
        <w:pStyle w:val="th0"/>
        <w:keepNext/>
        <w:jc w:val="center"/>
        <w:rPr>
          <w:rFonts w:ascii="Arial" w:eastAsia="Microsoft YaHei" w:hAnsi="Arial" w:cs="Arial"/>
          <w:b/>
          <w:bCs/>
          <w:color w:val="000000"/>
          <w:sz w:val="20"/>
          <w:szCs w:val="20"/>
          <w:lang w:val="en-US"/>
        </w:rPr>
      </w:pPr>
      <w:r>
        <w:rPr>
          <w:rFonts w:ascii="Arial" w:eastAsia="Microsoft YaHei" w:hAnsi="Arial" w:cs="Arial"/>
          <w:b/>
          <w:bCs/>
          <w:color w:val="000000"/>
          <w:sz w:val="20"/>
          <w:szCs w:val="20"/>
          <w:lang w:val="en-GB"/>
        </w:rPr>
        <w:t>Table 6.1.2.1-1: Valid </w:t>
      </w:r>
      <w:r>
        <w:rPr>
          <w:rFonts w:ascii="Arial" w:eastAsia="Microsoft YaHei" w:hAnsi="Arial" w:cs="Arial"/>
          <w:b/>
          <w:bCs/>
          <w:i/>
          <w:iCs/>
          <w:color w:val="000000"/>
          <w:sz w:val="20"/>
          <w:szCs w:val="20"/>
          <w:lang w:val="en-GB"/>
        </w:rPr>
        <w:t>S </w:t>
      </w:r>
      <w:r>
        <w:rPr>
          <w:rFonts w:ascii="Arial" w:eastAsia="Microsoft YaHei" w:hAnsi="Arial" w:cs="Arial"/>
          <w:b/>
          <w:bCs/>
          <w:color w:val="000000"/>
          <w:sz w:val="20"/>
          <w:szCs w:val="20"/>
          <w:lang w:val="en-GB"/>
        </w:rPr>
        <w:t>and </w:t>
      </w:r>
      <w:r>
        <w:rPr>
          <w:rFonts w:ascii="Arial" w:eastAsia="Microsoft YaHei" w:hAnsi="Arial" w:cs="Arial"/>
          <w:b/>
          <w:bCs/>
          <w:i/>
          <w:iCs/>
          <w:color w:val="000000"/>
          <w:sz w:val="20"/>
          <w:szCs w:val="20"/>
          <w:lang w:val="en-GB"/>
        </w:rPr>
        <w:t>L</w:t>
      </w:r>
      <w:r>
        <w:rPr>
          <w:rFonts w:ascii="Arial" w:eastAsia="Microsoft YaHei" w:hAnsi="Arial" w:cs="Arial"/>
          <w:b/>
          <w:bCs/>
          <w:color w:val="000000"/>
          <w:sz w:val="20"/>
          <w:szCs w:val="20"/>
          <w:lang w:val="en-GB"/>
        </w:rPr>
        <w:t> combinations</w:t>
      </w:r>
    </w:p>
    <w:tbl>
      <w:tblPr>
        <w:tblW w:w="0" w:type="auto"/>
        <w:jc w:val="center"/>
        <w:tblCellMar>
          <w:left w:w="0" w:type="dxa"/>
          <w:right w:w="0" w:type="dxa"/>
        </w:tblCellMar>
        <w:tblLook w:val="04A0" w:firstRow="1" w:lastRow="0" w:firstColumn="1" w:lastColumn="0" w:noHBand="0" w:noVBand="1"/>
      </w:tblPr>
      <w:tblGrid>
        <w:gridCol w:w="1470"/>
        <w:gridCol w:w="1072"/>
        <w:gridCol w:w="1094"/>
        <w:gridCol w:w="1560"/>
        <w:gridCol w:w="1093"/>
        <w:gridCol w:w="1094"/>
        <w:gridCol w:w="1669"/>
      </w:tblGrid>
      <w:tr w:rsidR="007827FB" w14:paraId="7E99E6E4" w14:textId="77777777" w:rsidTr="007827FB">
        <w:trPr>
          <w:jc w:val="center"/>
        </w:trPr>
        <w:tc>
          <w:tcPr>
            <w:tcW w:w="158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C89E4"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PUSCH mapping type</w:t>
            </w:r>
          </w:p>
        </w:tc>
        <w:tc>
          <w:tcPr>
            <w:tcW w:w="394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2A64C"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Normal cyclic prefix</w:t>
            </w:r>
          </w:p>
        </w:tc>
        <w:tc>
          <w:tcPr>
            <w:tcW w:w="410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2B3D5"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color w:val="000000"/>
                <w:sz w:val="18"/>
                <w:szCs w:val="18"/>
                <w:lang w:val="x-none"/>
              </w:rPr>
              <w:t>Extended cyclic prefix</w:t>
            </w:r>
          </w:p>
        </w:tc>
      </w:tr>
      <w:tr w:rsidR="007827FB" w14:paraId="0EDE5410" w14:textId="77777777" w:rsidTr="007827FB">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3BA40C" w14:textId="77777777" w:rsidR="007827FB" w:rsidRDefault="007827FB">
            <w:pPr>
              <w:rPr>
                <w:rFonts w:ascii="Arial" w:eastAsia="Microsoft YaHei" w:hAnsi="Arial" w:cs="Arial"/>
                <w:b/>
                <w:bCs/>
                <w:color w:val="000000"/>
                <w:sz w:val="18"/>
                <w:szCs w:val="18"/>
              </w:rPr>
            </w:pP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18115DDE"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4ACAB6"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L</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694FA9BE"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S+L</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302FC128"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11DAEC"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L</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4F085CD6" w14:textId="77777777" w:rsidR="007827FB" w:rsidRDefault="007827FB">
            <w:pPr>
              <w:pStyle w:val="tah0"/>
              <w:keepNext/>
              <w:jc w:val="center"/>
              <w:rPr>
                <w:rFonts w:ascii="Arial" w:eastAsia="Microsoft YaHei" w:hAnsi="Arial" w:cs="Arial"/>
                <w:b/>
                <w:bCs/>
                <w:color w:val="000000"/>
                <w:sz w:val="18"/>
                <w:szCs w:val="18"/>
              </w:rPr>
            </w:pPr>
            <w:r>
              <w:rPr>
                <w:rFonts w:ascii="Arial" w:eastAsia="Microsoft YaHei" w:hAnsi="Arial" w:cs="Arial"/>
                <w:b/>
                <w:bCs/>
                <w:i/>
                <w:iCs/>
                <w:color w:val="000000"/>
                <w:sz w:val="18"/>
                <w:szCs w:val="18"/>
                <w:lang w:val="x-none"/>
              </w:rPr>
              <w:t>S+L</w:t>
            </w:r>
          </w:p>
        </w:tc>
      </w:tr>
      <w:tr w:rsidR="007827FB" w14:paraId="596986C9" w14:textId="77777777" w:rsidTr="007827FB">
        <w:trPr>
          <w:jc w:val="center"/>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BA6E2"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Type A</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2B4DE10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BD9FFB"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4,…</w:t>
            </w:r>
            <w:proofErr w:type="gramEnd"/>
            <w:r>
              <w:rPr>
                <w:rFonts w:ascii="Arial" w:eastAsia="Microsoft YaHei" w:hAnsi="Arial" w:cs="Arial"/>
                <w:color w:val="000000"/>
                <w:sz w:val="18"/>
                <w:szCs w:val="18"/>
                <w:lang w:val="en-GB"/>
              </w:rPr>
              <w:t>,14}</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36AF4F0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4,…</w:t>
            </w:r>
            <w:proofErr w:type="gramEnd"/>
            <w:r>
              <w:rPr>
                <w:rFonts w:ascii="Arial" w:eastAsia="Microsoft YaHei" w:hAnsi="Arial" w:cs="Arial"/>
                <w:color w:val="000000"/>
                <w:sz w:val="18"/>
                <w:szCs w:val="18"/>
                <w:lang w:val="en-GB"/>
              </w:rPr>
              <w:t>,14}</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7E76A5A3"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8BD5AF9"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4,…</w:t>
            </w:r>
            <w:proofErr w:type="gramEnd"/>
            <w:r>
              <w:rPr>
                <w:rFonts w:ascii="Arial" w:eastAsia="Microsoft YaHei" w:hAnsi="Arial" w:cs="Arial"/>
                <w:color w:val="000000"/>
                <w:sz w:val="18"/>
                <w:szCs w:val="18"/>
                <w:lang w:val="en-GB"/>
              </w:rPr>
              <w:t>,12}</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357C692"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4,…</w:t>
            </w:r>
            <w:proofErr w:type="gramEnd"/>
            <w:r>
              <w:rPr>
                <w:rFonts w:ascii="Arial" w:eastAsia="Microsoft YaHei" w:hAnsi="Arial" w:cs="Arial"/>
                <w:color w:val="000000"/>
                <w:sz w:val="18"/>
                <w:szCs w:val="18"/>
                <w:lang w:val="en-GB"/>
              </w:rPr>
              <w:t>,12}</w:t>
            </w:r>
          </w:p>
        </w:tc>
      </w:tr>
      <w:tr w:rsidR="007827FB" w14:paraId="2B73818E" w14:textId="77777777" w:rsidTr="007827FB">
        <w:trPr>
          <w:jc w:val="center"/>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4AC4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Type B</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71310E48"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0,…</w:t>
            </w:r>
            <w:proofErr w:type="gramEnd"/>
            <w:r>
              <w:rPr>
                <w:rFonts w:ascii="Arial" w:eastAsia="Microsoft YaHei" w:hAnsi="Arial" w:cs="Arial"/>
                <w:color w:val="000000"/>
                <w:sz w:val="18"/>
                <w:szCs w:val="18"/>
                <w:lang w:val="en-GB"/>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FDC3BD"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1,…</w:t>
            </w:r>
            <w:proofErr w:type="gramEnd"/>
            <w:r>
              <w:rPr>
                <w:rFonts w:ascii="Arial" w:eastAsia="Microsoft YaHei" w:hAnsi="Arial" w:cs="Arial"/>
                <w:color w:val="000000"/>
                <w:sz w:val="18"/>
                <w:szCs w:val="18"/>
                <w:lang w:val="en-GB"/>
              </w:rPr>
              <w:t>,14}</w:t>
            </w:r>
          </w:p>
        </w:tc>
        <w:tc>
          <w:tcPr>
            <w:tcW w:w="1703" w:type="dxa"/>
            <w:tcBorders>
              <w:top w:val="nil"/>
              <w:left w:val="nil"/>
              <w:bottom w:val="single" w:sz="8" w:space="0" w:color="auto"/>
              <w:right w:val="single" w:sz="8" w:space="0" w:color="auto"/>
            </w:tcBorders>
            <w:tcMar>
              <w:top w:w="0" w:type="dxa"/>
              <w:left w:w="108" w:type="dxa"/>
              <w:bottom w:w="0" w:type="dxa"/>
              <w:right w:w="108" w:type="dxa"/>
            </w:tcMar>
            <w:hideMark/>
          </w:tcPr>
          <w:p w14:paraId="7F4AEC91"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1,…</w:t>
            </w:r>
            <w:proofErr w:type="gramEnd"/>
            <w:r>
              <w:rPr>
                <w:rFonts w:ascii="Arial" w:eastAsia="Microsoft YaHei" w:hAnsi="Arial" w:cs="Arial"/>
                <w:color w:val="000000"/>
                <w:sz w:val="18"/>
                <w:szCs w:val="18"/>
                <w:lang w:val="en-GB"/>
              </w:rPr>
              <w:t>,14}</w:t>
            </w:r>
          </w:p>
        </w:tc>
        <w:tc>
          <w:tcPr>
            <w:tcW w:w="1132" w:type="dxa"/>
            <w:tcBorders>
              <w:top w:val="nil"/>
              <w:left w:val="nil"/>
              <w:bottom w:val="single" w:sz="8" w:space="0" w:color="auto"/>
              <w:right w:val="single" w:sz="8" w:space="0" w:color="auto"/>
            </w:tcBorders>
            <w:tcMar>
              <w:top w:w="0" w:type="dxa"/>
              <w:left w:w="108" w:type="dxa"/>
              <w:bottom w:w="0" w:type="dxa"/>
              <w:right w:w="108" w:type="dxa"/>
            </w:tcMar>
            <w:hideMark/>
          </w:tcPr>
          <w:p w14:paraId="78627EBF"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0,…</w:t>
            </w:r>
            <w:proofErr w:type="gramEnd"/>
            <w:r>
              <w:rPr>
                <w:rFonts w:ascii="Arial" w:eastAsia="Microsoft YaHei" w:hAnsi="Arial" w:cs="Arial"/>
                <w:color w:val="000000"/>
                <w:sz w:val="18"/>
                <w:szCs w:val="18"/>
                <w:lang w:val="en-GB"/>
              </w:rPr>
              <w:t>,12}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A550E8"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1,…</w:t>
            </w:r>
            <w:proofErr w:type="gramEnd"/>
            <w:r>
              <w:rPr>
                <w:rFonts w:ascii="Arial" w:eastAsia="Microsoft YaHei" w:hAnsi="Arial" w:cs="Arial"/>
                <w:color w:val="000000"/>
                <w:sz w:val="18"/>
                <w:szCs w:val="18"/>
                <w:lang w:val="en-GB"/>
              </w:rPr>
              <w:t>,12}</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621DC74B" w14:textId="77777777" w:rsidR="007827FB" w:rsidRDefault="007827FB">
            <w:pPr>
              <w:pStyle w:val="tac0"/>
              <w:keepNext/>
              <w:jc w:val="center"/>
              <w:rPr>
                <w:rFonts w:ascii="Arial" w:eastAsia="Microsoft YaHei" w:hAnsi="Arial" w:cs="Arial"/>
                <w:color w:val="000000"/>
                <w:sz w:val="18"/>
                <w:szCs w:val="18"/>
              </w:rPr>
            </w:pPr>
            <w:r>
              <w:rPr>
                <w:rFonts w:ascii="Arial" w:eastAsia="Microsoft YaHei" w:hAnsi="Arial" w:cs="Arial"/>
                <w:color w:val="000000"/>
                <w:sz w:val="18"/>
                <w:szCs w:val="18"/>
                <w:lang w:val="en-GB"/>
              </w:rPr>
              <w:t>{</w:t>
            </w:r>
            <w:proofErr w:type="gramStart"/>
            <w:r>
              <w:rPr>
                <w:rFonts w:ascii="Arial" w:eastAsia="Microsoft YaHei" w:hAnsi="Arial" w:cs="Arial"/>
                <w:color w:val="000000"/>
                <w:sz w:val="18"/>
                <w:szCs w:val="18"/>
                <w:lang w:val="en-GB"/>
              </w:rPr>
              <w:t>1,…</w:t>
            </w:r>
            <w:proofErr w:type="gramEnd"/>
            <w:r>
              <w:rPr>
                <w:rFonts w:ascii="Arial" w:eastAsia="Microsoft YaHei" w:hAnsi="Arial" w:cs="Arial"/>
                <w:color w:val="000000"/>
                <w:sz w:val="18"/>
                <w:szCs w:val="18"/>
                <w:lang w:val="en-GB"/>
              </w:rPr>
              <w:t>,12}</w:t>
            </w:r>
          </w:p>
        </w:tc>
      </w:tr>
    </w:tbl>
    <w:p w14:paraId="093E015A"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 </w:t>
      </w:r>
    </w:p>
    <w:p w14:paraId="2AC6883A" w14:textId="24E7598C" w:rsidR="007827FB" w:rsidRDefault="007827FB" w:rsidP="007827FB">
      <w:pPr>
        <w:spacing w:before="100" w:beforeAutospacing="1" w:after="100" w:afterAutospacing="1"/>
        <w:jc w:val="both"/>
        <w:rPr>
          <w:rFonts w:eastAsia="Microsoft YaHei"/>
          <w:color w:val="000000"/>
          <w:szCs w:val="20"/>
        </w:rPr>
      </w:pPr>
      <w:r>
        <w:rPr>
          <w:rFonts w:eastAsia="Microsoft YaHei"/>
          <w:color w:val="FF0000"/>
          <w:szCs w:val="20"/>
          <w:u w:val="single"/>
          <w:lang w:val="en-GB"/>
        </w:rPr>
        <w:t xml:space="preserve">If a UE does not support active BWP change via DCI or the </w:t>
      </w:r>
      <w:proofErr w:type="spellStart"/>
      <w:r>
        <w:rPr>
          <w:rFonts w:eastAsia="Microsoft YaHei"/>
          <w:color w:val="FF0000"/>
          <w:szCs w:val="20"/>
          <w:u w:val="single"/>
          <w:lang w:val="en-GB"/>
        </w:rPr>
        <w:t>bitwidth</w:t>
      </w:r>
      <w:proofErr w:type="spellEnd"/>
      <w:r>
        <w:rPr>
          <w:rFonts w:eastAsia="Microsoft YaHei"/>
          <w:color w:val="FF0000"/>
          <w:szCs w:val="20"/>
          <w:u w:val="single"/>
          <w:lang w:val="en-GB"/>
        </w:rPr>
        <w:t xml:space="preserve"> of bandwidth part indicator field in the scheduling DCI is 0, the slot and symbol indexing for uplink time-domain resource allocation is determined based on the numerology of the UE's active bandwidth part. If </w:t>
      </w:r>
      <w:r>
        <w:rPr>
          <w:rFonts w:eastAsia="Microsoft YaHei"/>
          <w:color w:val="FF0000"/>
          <w:szCs w:val="20"/>
          <w:u w:val="single"/>
          <w:shd w:val="clear" w:color="auto" w:fill="FFFFFF"/>
          <w:lang w:val="en-GB"/>
        </w:rPr>
        <w:t xml:space="preserve">a UE supports active BWP change via DCI and the </w:t>
      </w:r>
      <w:proofErr w:type="spellStart"/>
      <w:r>
        <w:rPr>
          <w:rFonts w:eastAsia="Microsoft YaHei"/>
          <w:color w:val="FF0000"/>
          <w:szCs w:val="20"/>
          <w:u w:val="single"/>
          <w:shd w:val="clear" w:color="auto" w:fill="FFFFFF"/>
          <w:lang w:val="en-GB"/>
        </w:rPr>
        <w:t>bitwidth</w:t>
      </w:r>
      <w:proofErr w:type="spellEnd"/>
      <w:r>
        <w:rPr>
          <w:rFonts w:eastAsia="Microsoft YaHei"/>
          <w:color w:val="FF0000"/>
          <w:szCs w:val="20"/>
          <w:u w:val="single"/>
          <w:shd w:val="clear" w:color="auto" w:fill="FFFFFF"/>
          <w:lang w:val="en-GB"/>
        </w:rPr>
        <w:t xml:space="preserve"> of bandwidth part indicator field in the scheduling DCI is not 0</w:t>
      </w:r>
      <w:r>
        <w:rPr>
          <w:rFonts w:eastAsia="Microsoft YaHei"/>
          <w:color w:val="FF0000"/>
          <w:szCs w:val="20"/>
          <w:u w:val="single"/>
          <w:lang w:val="en-GB"/>
        </w:rPr>
        <w:t>, the slot and symbol indexing for uplink time-domain resource allocation is determined based on the numerology of the UE's bandwidth part indicated by bandwidth part indicator field value in the DCI.</w:t>
      </w:r>
    </w:p>
    <w:p w14:paraId="1D64EB32"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When the UE is configured with </w:t>
      </w:r>
      <w:proofErr w:type="spellStart"/>
      <w:r>
        <w:rPr>
          <w:rFonts w:eastAsia="Microsoft YaHei"/>
          <w:i/>
          <w:iCs/>
          <w:color w:val="000000"/>
          <w:szCs w:val="20"/>
          <w:lang w:val="en-GB"/>
        </w:rPr>
        <w:t>aggregationFactorUL</w:t>
      </w:r>
      <w:proofErr w:type="spellEnd"/>
      <w:r>
        <w:rPr>
          <w:rFonts w:eastAsia="Microsoft YaHei"/>
          <w:color w:val="000000"/>
          <w:szCs w:val="20"/>
          <w:lang w:val="en-GB"/>
        </w:rPr>
        <w:t> &gt; 1, the same symbol allocation is applied across the </w:t>
      </w:r>
      <w:proofErr w:type="spellStart"/>
      <w:r>
        <w:rPr>
          <w:rFonts w:eastAsia="Microsoft YaHei"/>
          <w:i/>
          <w:iCs/>
          <w:color w:val="000000"/>
          <w:szCs w:val="20"/>
          <w:lang w:val="en-GB"/>
        </w:rPr>
        <w:t>aggregationFactorUL</w:t>
      </w:r>
      <w:proofErr w:type="spellEnd"/>
      <w:r>
        <w:rPr>
          <w:rFonts w:eastAsia="Microsoft YaHei"/>
          <w:color w:val="000000"/>
          <w:szCs w:val="20"/>
          <w:lang w:val="en-GB"/>
        </w:rPr>
        <w:t> consecutive slots and the PUSCH is limited to a single transmission layer. The UE shall repeat the TB across the </w:t>
      </w:r>
      <w:proofErr w:type="spellStart"/>
      <w:r>
        <w:rPr>
          <w:rFonts w:eastAsia="Microsoft YaHei"/>
          <w:i/>
          <w:iCs/>
          <w:color w:val="000000"/>
          <w:szCs w:val="20"/>
          <w:lang w:val="en-GB"/>
        </w:rPr>
        <w:t>aggregationFactorUL</w:t>
      </w:r>
      <w:proofErr w:type="spellEnd"/>
      <w:r>
        <w:rPr>
          <w:rFonts w:eastAsia="Microsoft YaHei"/>
          <w:color w:val="000000"/>
          <w:szCs w:val="20"/>
          <w:lang w:val="en-GB"/>
        </w:rPr>
        <w:t> consecutive slots applying the same symbol allocation in each slot. The redundancy version to be applied on the </w:t>
      </w:r>
      <w:r>
        <w:rPr>
          <w:rFonts w:eastAsia="Microsoft YaHei"/>
          <w:i/>
          <w:iCs/>
          <w:color w:val="000000"/>
          <w:szCs w:val="20"/>
          <w:lang w:val="en-GB"/>
        </w:rPr>
        <w:t>n</w:t>
      </w:r>
      <w:r>
        <w:rPr>
          <w:rFonts w:eastAsia="Microsoft YaHei"/>
          <w:color w:val="000000"/>
          <w:szCs w:val="20"/>
          <w:vertAlign w:val="superscript"/>
          <w:lang w:val="en-GB"/>
        </w:rPr>
        <w:t>th</w:t>
      </w:r>
      <w:r>
        <w:rPr>
          <w:rFonts w:eastAsia="Microsoft YaHei"/>
          <w:color w:val="000000"/>
          <w:szCs w:val="20"/>
          <w:lang w:val="en-GB"/>
        </w:rPr>
        <w:t> transmission occasion of the TB is determined according to table 6.1.2.1-2. </w:t>
      </w:r>
    </w:p>
    <w:p w14:paraId="439F93A3"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5BEFB013" w14:textId="77777777" w:rsidR="007827FB" w:rsidRDefault="007827FB" w:rsidP="007827FB">
      <w:pPr>
        <w:pStyle w:val="Heading4"/>
        <w:numPr>
          <w:ilvl w:val="0"/>
          <w:numId w:val="0"/>
        </w:numPr>
        <w:spacing w:before="120" w:after="180"/>
        <w:ind w:left="1304" w:hanging="1304"/>
        <w:rPr>
          <w:rFonts w:ascii="Arial" w:eastAsia="Microsoft YaHei" w:hAnsi="Arial" w:cs="Arial"/>
          <w:b w:val="0"/>
          <w:bCs w:val="0"/>
          <w:color w:val="000000"/>
          <w:sz w:val="24"/>
          <w:szCs w:val="24"/>
        </w:rPr>
      </w:pPr>
      <w:r>
        <w:rPr>
          <w:rFonts w:ascii="Arial" w:eastAsia="Microsoft YaHei" w:hAnsi="Arial" w:cs="Arial"/>
          <w:b w:val="0"/>
          <w:bCs w:val="0"/>
          <w:color w:val="000000"/>
          <w:lang w:val="x-none"/>
        </w:rPr>
        <w:t>6.1.2.2            Resource allocation in frequency domain</w:t>
      </w:r>
    </w:p>
    <w:p w14:paraId="1542BD45" w14:textId="77777777" w:rsidR="007827FB" w:rsidRDefault="007827FB" w:rsidP="007827FB">
      <w:pPr>
        <w:spacing w:before="100" w:beforeAutospacing="1" w:after="100" w:afterAutospacing="1"/>
        <w:rPr>
          <w:rFonts w:eastAsia="Microsoft YaHei"/>
          <w:color w:val="000000"/>
          <w:szCs w:val="20"/>
        </w:rPr>
      </w:pPr>
      <w:r>
        <w:rPr>
          <w:rFonts w:eastAsia="Microsoft YaHei"/>
          <w:color w:val="000000"/>
          <w:szCs w:val="20"/>
          <w:lang w:val="en-GB"/>
        </w:rPr>
        <w:t>……</w:t>
      </w:r>
    </w:p>
    <w:p w14:paraId="3C63B6EA" w14:textId="749B6CD9" w:rsidR="007827FB" w:rsidRDefault="007827FB" w:rsidP="007827FB">
      <w:pPr>
        <w:spacing w:before="100" w:beforeAutospacing="1" w:after="100" w:afterAutospacing="1"/>
        <w:rPr>
          <w:rFonts w:eastAsia="Microsoft YaHei"/>
          <w:color w:val="000000"/>
          <w:szCs w:val="20"/>
        </w:rPr>
      </w:pPr>
      <w:proofErr w:type="gramStart"/>
      <w:r>
        <w:rPr>
          <w:rFonts w:eastAsia="Microsoft YaHei"/>
          <w:color w:val="000000"/>
          <w:szCs w:val="20"/>
          <w:lang w:val="en-GB"/>
        </w:rPr>
        <w:t>If </w:t>
      </w:r>
      <w:r>
        <w:rPr>
          <w:rFonts w:eastAsia="Microsoft YaHei"/>
          <w:color w:val="FF0000"/>
          <w:szCs w:val="20"/>
          <w:u w:val="single"/>
          <w:lang w:val="en-GB"/>
        </w:rPr>
        <w:t> </w:t>
      </w:r>
      <w:r w:rsidR="00922517">
        <w:rPr>
          <w:rFonts w:eastAsia="Microsoft YaHei"/>
          <w:color w:val="FF0000"/>
          <w:szCs w:val="20"/>
          <w:u w:val="single"/>
          <w:lang w:val="en-GB"/>
        </w:rPr>
        <w:t>a</w:t>
      </w:r>
      <w:proofErr w:type="gramEnd"/>
      <w:r w:rsidR="00922517">
        <w:rPr>
          <w:rFonts w:eastAsia="Microsoft YaHei"/>
          <w:color w:val="FF0000"/>
          <w:szCs w:val="20"/>
          <w:u w:val="single"/>
          <w:lang w:val="en-GB"/>
        </w:rPr>
        <w:t xml:space="preserve"> UE does not support active BWP change via DCI or </w:t>
      </w:r>
      <w:r>
        <w:rPr>
          <w:rFonts w:eastAsia="Microsoft YaHei"/>
          <w:color w:val="FF0000"/>
          <w:szCs w:val="20"/>
          <w:u w:val="single"/>
          <w:lang w:val="en-GB"/>
        </w:rPr>
        <w:t xml:space="preserve">the </w:t>
      </w:r>
      <w:proofErr w:type="spellStart"/>
      <w:r>
        <w:rPr>
          <w:rFonts w:eastAsia="Microsoft YaHei"/>
          <w:color w:val="FF0000"/>
          <w:szCs w:val="20"/>
          <w:u w:val="single"/>
          <w:lang w:val="en-GB"/>
        </w:rPr>
        <w:t>bitwidth</w:t>
      </w:r>
      <w:proofErr w:type="spellEnd"/>
      <w:r>
        <w:rPr>
          <w:rFonts w:eastAsia="Microsoft YaHei"/>
          <w:color w:val="FF0000"/>
          <w:szCs w:val="20"/>
          <w:u w:val="single"/>
          <w:lang w:val="en-GB"/>
        </w:rPr>
        <w:t xml:space="preserve"> of bandwidth part indicator field in the scheduling DCI is 0, </w:t>
      </w:r>
      <w:r>
        <w:rPr>
          <w:rFonts w:eastAsia="Microsoft YaHei"/>
          <w:strike/>
          <w:color w:val="FF0000"/>
          <w:szCs w:val="20"/>
          <w:u w:val="single"/>
          <w:lang w:val="en-GB"/>
        </w:rPr>
        <w:t>a </w:t>
      </w:r>
      <w:r>
        <w:rPr>
          <w:rFonts w:eastAsia="Microsoft YaHei"/>
          <w:strike/>
          <w:color w:val="FF0000"/>
          <w:szCs w:val="20"/>
          <w:lang w:val="en-GB"/>
        </w:rPr>
        <w:t>bandwidth part indicator field is not configured in the scheduling DCI,</w:t>
      </w:r>
      <w:r>
        <w:rPr>
          <w:rFonts w:eastAsia="Microsoft YaHei"/>
          <w:color w:val="FF0000"/>
          <w:szCs w:val="20"/>
          <w:lang w:val="en-GB"/>
        </w:rPr>
        <w:t> </w:t>
      </w:r>
      <w:r>
        <w:rPr>
          <w:rFonts w:eastAsia="Microsoft YaHei"/>
          <w:color w:val="000000"/>
          <w:szCs w:val="20"/>
          <w:lang w:val="en-GB"/>
        </w:rPr>
        <w:t>the RB indexing for uplink type 0 and type 1 resource allocation is determined within the UE's active bandwidth part. If </w:t>
      </w:r>
      <w:r>
        <w:rPr>
          <w:rFonts w:eastAsia="Microsoft YaHei"/>
          <w:color w:val="FF0000"/>
          <w:szCs w:val="20"/>
          <w:u w:val="single"/>
          <w:shd w:val="clear" w:color="auto" w:fill="FFFFFF"/>
          <w:lang w:val="en-GB"/>
        </w:rPr>
        <w:t> </w:t>
      </w:r>
      <w:r w:rsidR="00922517">
        <w:rPr>
          <w:rFonts w:eastAsia="Microsoft YaHei"/>
          <w:color w:val="FF0000"/>
          <w:szCs w:val="20"/>
          <w:u w:val="single"/>
          <w:shd w:val="clear" w:color="auto" w:fill="FFFFFF"/>
          <w:lang w:val="en-GB"/>
        </w:rPr>
        <w:t xml:space="preserve">a UE supports active BWP change via DCI and </w:t>
      </w:r>
      <w:r>
        <w:rPr>
          <w:rFonts w:eastAsia="Microsoft YaHei"/>
          <w:color w:val="FF0000"/>
          <w:szCs w:val="20"/>
          <w:u w:val="single"/>
          <w:shd w:val="clear" w:color="auto" w:fill="FFFFFF"/>
          <w:lang w:val="en-GB"/>
        </w:rPr>
        <w:t xml:space="preserve">the </w:t>
      </w:r>
      <w:proofErr w:type="spellStart"/>
      <w:r>
        <w:rPr>
          <w:rFonts w:eastAsia="Microsoft YaHei"/>
          <w:color w:val="FF0000"/>
          <w:szCs w:val="20"/>
          <w:u w:val="single"/>
          <w:shd w:val="clear" w:color="auto" w:fill="FFFFFF"/>
          <w:lang w:val="en-GB"/>
        </w:rPr>
        <w:t>bitwidth</w:t>
      </w:r>
      <w:proofErr w:type="spellEnd"/>
      <w:r>
        <w:rPr>
          <w:rFonts w:eastAsia="Microsoft YaHei"/>
          <w:color w:val="FF0000"/>
          <w:szCs w:val="20"/>
          <w:u w:val="single"/>
          <w:shd w:val="clear" w:color="auto" w:fill="FFFFFF"/>
          <w:lang w:val="en-GB"/>
        </w:rPr>
        <w:t xml:space="preserve"> of bandwidth part indicator field in the scheduling DCI is not 0</w:t>
      </w:r>
      <w:r>
        <w:rPr>
          <w:rFonts w:eastAsia="Microsoft YaHei"/>
          <w:color w:val="FF0000"/>
          <w:szCs w:val="20"/>
          <w:u w:val="single"/>
          <w:lang w:val="en-GB"/>
        </w:rPr>
        <w:t>, </w:t>
      </w:r>
      <w:r>
        <w:rPr>
          <w:rFonts w:eastAsia="Microsoft YaHei"/>
          <w:strike/>
          <w:color w:val="FF0000"/>
          <w:szCs w:val="20"/>
          <w:u w:val="single"/>
          <w:lang w:val="en-GB"/>
        </w:rPr>
        <w:t>a </w:t>
      </w:r>
      <w:r>
        <w:rPr>
          <w:rFonts w:eastAsia="Microsoft YaHei"/>
          <w:strike/>
          <w:color w:val="FF0000"/>
          <w:szCs w:val="20"/>
          <w:lang w:val="en-GB"/>
        </w:rPr>
        <w:t>bandwidth part indicator field is not configured in the scheduling DCI,</w:t>
      </w:r>
      <w:r>
        <w:rPr>
          <w:rFonts w:eastAsia="Microsoft YaHei"/>
          <w:color w:val="FF0000"/>
          <w:szCs w:val="20"/>
          <w:lang w:val="en-GB"/>
        </w:rPr>
        <w:t> </w:t>
      </w:r>
      <w:r>
        <w:rPr>
          <w:rFonts w:eastAsia="Microsoft YaHei"/>
          <w:color w:val="000000"/>
          <w:szCs w:val="20"/>
          <w:lang w:val="en-GB"/>
        </w:rPr>
        <w:t>the RB indexing for uplink type 0 and type 1 resource allocation is determined within the UE's bandwidth part indicated by bandwidth part indicator field value in the DCI</w:t>
      </w:r>
      <w:r w:rsidRPr="007A27EC">
        <w:rPr>
          <w:rFonts w:eastAsia="Microsoft YaHei"/>
          <w:strike/>
          <w:color w:val="FF0000"/>
          <w:szCs w:val="20"/>
          <w:lang w:val="en-GB"/>
        </w:rPr>
        <w:t>, except for the case when DCI format 0_0 is decoded in any PDCCH common search space in CORESET 0 in which case the initial bandwidth part shall be used</w:t>
      </w:r>
      <w:r>
        <w:rPr>
          <w:rFonts w:eastAsia="Microsoft YaHei"/>
          <w:color w:val="000000"/>
          <w:szCs w:val="20"/>
          <w:lang w:val="en-GB"/>
        </w:rPr>
        <w:t>. The UE shall upon detection of PDCCH intended for the UE determine first the uplink bandwidth part and then the resource allocation within the bandwidth part.</w:t>
      </w:r>
    </w:p>
    <w:p w14:paraId="20A5CA5D" w14:textId="77777777" w:rsidR="005D2D6E" w:rsidRDefault="005D2D6E" w:rsidP="00BA2942">
      <w:pPr>
        <w:pStyle w:val="BodyText"/>
        <w:rPr>
          <w:lang w:eastAsia="zh-CN"/>
        </w:rPr>
      </w:pPr>
    </w:p>
    <w:p w14:paraId="54E06FC9" w14:textId="016F3C60" w:rsidR="00090193" w:rsidRDefault="00090193" w:rsidP="00BA2942">
      <w:pPr>
        <w:pStyle w:val="BodyText"/>
        <w:rPr>
          <w:lang w:eastAsia="zh-CN"/>
        </w:rPr>
      </w:pPr>
    </w:p>
    <w:p w14:paraId="376B1613" w14:textId="622853C8" w:rsidR="00090193" w:rsidRPr="001E216C" w:rsidRDefault="001E216C" w:rsidP="001E216C">
      <w:pPr>
        <w:pStyle w:val="Heading1"/>
        <w:rPr>
          <w:lang w:eastAsia="zh-CN"/>
        </w:rPr>
      </w:pPr>
      <w:r w:rsidRPr="001E216C">
        <w:rPr>
          <w:lang w:eastAsia="zh-CN"/>
        </w:rPr>
        <w:t>Handling of PDSCH allocations overlapping with PDCCH monitoring occasions</w:t>
      </w:r>
    </w:p>
    <w:p w14:paraId="2A7EC5C4" w14:textId="6E2A8CBD" w:rsidR="00090193" w:rsidRPr="001E216C" w:rsidRDefault="001E216C" w:rsidP="001E216C">
      <w:pPr>
        <w:pStyle w:val="Heading1"/>
        <w:rPr>
          <w:lang w:eastAsia="zh-CN"/>
        </w:rPr>
      </w:pPr>
      <w:r w:rsidRPr="001E216C">
        <w:rPr>
          <w:lang w:eastAsia="zh-CN"/>
        </w:rPr>
        <w:t>Remaining TPs in contributions related to resource allocation</w:t>
      </w:r>
    </w:p>
    <w:sectPr w:rsidR="00090193" w:rsidRPr="001E216C"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FA567" w14:textId="77777777" w:rsidR="001C3FF6" w:rsidRDefault="001C3FF6" w:rsidP="00896408">
      <w:r>
        <w:separator/>
      </w:r>
    </w:p>
  </w:endnote>
  <w:endnote w:type="continuationSeparator" w:id="0">
    <w:p w14:paraId="35EFFE8A" w14:textId="77777777" w:rsidR="001C3FF6" w:rsidRDefault="001C3FF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C78D7" w14:textId="77777777" w:rsidR="001C3FF6" w:rsidRDefault="001C3FF6" w:rsidP="00896408">
      <w:r>
        <w:separator/>
      </w:r>
    </w:p>
  </w:footnote>
  <w:footnote w:type="continuationSeparator" w:id="0">
    <w:p w14:paraId="7E28F2B6" w14:textId="77777777" w:rsidR="001C3FF6" w:rsidRDefault="001C3FF6"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0056A"/>
    <w:multiLevelType w:val="hybridMultilevel"/>
    <w:tmpl w:val="E1A4DE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03944"/>
    <w:multiLevelType w:val="hybridMultilevel"/>
    <w:tmpl w:val="B11E5C02"/>
    <w:lvl w:ilvl="0" w:tplc="0804D7B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16678C"/>
    <w:multiLevelType w:val="hybridMultilevel"/>
    <w:tmpl w:val="6E7CF2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E8C10E6"/>
    <w:multiLevelType w:val="hybridMultilevel"/>
    <w:tmpl w:val="ECFE7A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685045"/>
    <w:multiLevelType w:val="hybridMultilevel"/>
    <w:tmpl w:val="3CDC3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723A50"/>
    <w:multiLevelType w:val="hybridMultilevel"/>
    <w:tmpl w:val="9B6ADA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B6E6D90">
      <w:numFmt w:val="bullet"/>
      <w:lvlText w:val="-"/>
      <w:lvlJc w:val="left"/>
      <w:pPr>
        <w:ind w:left="2160" w:hanging="360"/>
      </w:pPr>
      <w:rPr>
        <w:rFonts w:ascii="Times New Roman" w:eastAsia="Times New Roma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365004"/>
    <w:multiLevelType w:val="hybridMultilevel"/>
    <w:tmpl w:val="8C24DCF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3134F"/>
    <w:multiLevelType w:val="hybridMultilevel"/>
    <w:tmpl w:val="E8DCEA04"/>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start w:val="1"/>
      <w:numFmt w:val="bullet"/>
      <w:lvlText w:val=""/>
      <w:lvlJc w:val="left"/>
      <w:pPr>
        <w:ind w:left="2214" w:hanging="360"/>
      </w:pPr>
      <w:rPr>
        <w:rFonts w:ascii="Wingdings" w:hAnsi="Wingdings" w:hint="default"/>
      </w:rPr>
    </w:lvl>
    <w:lvl w:ilvl="3" w:tplc="041D0001">
      <w:start w:val="1"/>
      <w:numFmt w:val="bullet"/>
      <w:lvlText w:val=""/>
      <w:lvlJc w:val="left"/>
      <w:pPr>
        <w:ind w:left="2934" w:hanging="360"/>
      </w:pPr>
      <w:rPr>
        <w:rFonts w:ascii="Symbol" w:hAnsi="Symbol" w:hint="default"/>
      </w:rPr>
    </w:lvl>
    <w:lvl w:ilvl="4" w:tplc="041D0003">
      <w:start w:val="1"/>
      <w:numFmt w:val="bullet"/>
      <w:lvlText w:val="o"/>
      <w:lvlJc w:val="left"/>
      <w:pPr>
        <w:ind w:left="3654" w:hanging="360"/>
      </w:pPr>
      <w:rPr>
        <w:rFonts w:ascii="Courier New" w:hAnsi="Courier New" w:cs="Courier New" w:hint="default"/>
      </w:rPr>
    </w:lvl>
    <w:lvl w:ilvl="5" w:tplc="041D0005">
      <w:start w:val="1"/>
      <w:numFmt w:val="bullet"/>
      <w:lvlText w:val=""/>
      <w:lvlJc w:val="left"/>
      <w:pPr>
        <w:ind w:left="4374" w:hanging="360"/>
      </w:pPr>
      <w:rPr>
        <w:rFonts w:ascii="Wingdings" w:hAnsi="Wingdings" w:hint="default"/>
      </w:rPr>
    </w:lvl>
    <w:lvl w:ilvl="6" w:tplc="041D0001">
      <w:start w:val="1"/>
      <w:numFmt w:val="bullet"/>
      <w:lvlText w:val=""/>
      <w:lvlJc w:val="left"/>
      <w:pPr>
        <w:ind w:left="5094" w:hanging="360"/>
      </w:pPr>
      <w:rPr>
        <w:rFonts w:ascii="Symbol" w:hAnsi="Symbol" w:hint="default"/>
      </w:rPr>
    </w:lvl>
    <w:lvl w:ilvl="7" w:tplc="041D0003">
      <w:start w:val="1"/>
      <w:numFmt w:val="bullet"/>
      <w:lvlText w:val="o"/>
      <w:lvlJc w:val="left"/>
      <w:pPr>
        <w:ind w:left="5814" w:hanging="360"/>
      </w:pPr>
      <w:rPr>
        <w:rFonts w:ascii="Courier New" w:hAnsi="Courier New" w:cs="Courier New" w:hint="default"/>
      </w:rPr>
    </w:lvl>
    <w:lvl w:ilvl="8" w:tplc="041D0005">
      <w:start w:val="1"/>
      <w:numFmt w:val="bullet"/>
      <w:lvlText w:val=""/>
      <w:lvlJc w:val="left"/>
      <w:pPr>
        <w:ind w:left="6534" w:hanging="360"/>
      </w:pPr>
      <w:rPr>
        <w:rFonts w:ascii="Wingdings" w:hAnsi="Wingdings" w:hint="default"/>
      </w:rPr>
    </w:lvl>
  </w:abstractNum>
  <w:abstractNum w:abstractNumId="21" w15:restartNumberingAfterBreak="0">
    <w:nsid w:val="4702551D"/>
    <w:multiLevelType w:val="hybridMultilevel"/>
    <w:tmpl w:val="F4B8E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562922"/>
    <w:multiLevelType w:val="hybridMultilevel"/>
    <w:tmpl w:val="6F4AF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56DC1"/>
    <w:multiLevelType w:val="hybridMultilevel"/>
    <w:tmpl w:val="5E06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612FA"/>
    <w:multiLevelType w:val="hybridMultilevel"/>
    <w:tmpl w:val="D4704F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B953004"/>
    <w:multiLevelType w:val="hybridMultilevel"/>
    <w:tmpl w:val="77B2829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0" w15:restartNumberingAfterBreak="0">
    <w:nsid w:val="5BA63910"/>
    <w:multiLevelType w:val="hybridMultilevel"/>
    <w:tmpl w:val="AD3090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3B73EA"/>
    <w:multiLevelType w:val="hybridMultilevel"/>
    <w:tmpl w:val="4EF0E5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414C1C"/>
    <w:multiLevelType w:val="hybridMultilevel"/>
    <w:tmpl w:val="3978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8938FE"/>
    <w:multiLevelType w:val="hybridMultilevel"/>
    <w:tmpl w:val="3BDCC0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ED6A29"/>
    <w:multiLevelType w:val="hybridMultilevel"/>
    <w:tmpl w:val="E45ACC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DD074E"/>
    <w:multiLevelType w:val="hybridMultilevel"/>
    <w:tmpl w:val="BC1E7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AA76EF"/>
    <w:multiLevelType w:val="hybridMultilevel"/>
    <w:tmpl w:val="E1BA3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8105A"/>
    <w:multiLevelType w:val="hybridMultilevel"/>
    <w:tmpl w:val="129A23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38016F"/>
    <w:multiLevelType w:val="hybridMultilevel"/>
    <w:tmpl w:val="598E3198"/>
    <w:lvl w:ilvl="0" w:tplc="60AE8B56">
      <w:start w:val="1"/>
      <w:numFmt w:val="bullet"/>
      <w:lvlText w:val="•"/>
      <w:lvlJc w:val="left"/>
      <w:pPr>
        <w:tabs>
          <w:tab w:val="num" w:pos="502"/>
        </w:tabs>
        <w:ind w:left="502"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3"/>
  </w:num>
  <w:num w:numId="2">
    <w:abstractNumId w:val="1"/>
  </w:num>
  <w:num w:numId="3">
    <w:abstractNumId w:val="39"/>
  </w:num>
  <w:num w:numId="4">
    <w:abstractNumId w:val="18"/>
  </w:num>
  <w:num w:numId="5">
    <w:abstractNumId w:val="15"/>
  </w:num>
  <w:num w:numId="6">
    <w:abstractNumId w:val="12"/>
  </w:num>
  <w:num w:numId="7">
    <w:abstractNumId w:val="10"/>
  </w:num>
  <w:num w:numId="8">
    <w:abstractNumId w:val="14"/>
  </w:num>
  <w:num w:numId="9">
    <w:abstractNumId w:val="26"/>
  </w:num>
  <w:num w:numId="10">
    <w:abstractNumId w:val="0"/>
  </w:num>
  <w:num w:numId="11">
    <w:abstractNumId w:val="7"/>
  </w:num>
  <w:num w:numId="12">
    <w:abstractNumId w:val="24"/>
  </w:num>
  <w:num w:numId="13">
    <w:abstractNumId w:val="38"/>
  </w:num>
  <w:num w:numId="14">
    <w:abstractNumId w:val="31"/>
  </w:num>
  <w:num w:numId="15">
    <w:abstractNumId w:val="37"/>
  </w:num>
  <w:num w:numId="16">
    <w:abstractNumId w:val="13"/>
  </w:num>
  <w:num w:numId="17">
    <w:abstractNumId w:val="36"/>
  </w:num>
  <w:num w:numId="18">
    <w:abstractNumId w:val="33"/>
  </w:num>
  <w:num w:numId="19">
    <w:abstractNumId w:val="22"/>
  </w:num>
  <w:num w:numId="20">
    <w:abstractNumId w:val="18"/>
    <w:lvlOverride w:ilvl="0">
      <w:startOverride w:val="14"/>
    </w:lvlOverride>
  </w:num>
  <w:num w:numId="21">
    <w:abstractNumId w:val="4"/>
  </w:num>
  <w:num w:numId="22">
    <w:abstractNumId w:val="3"/>
  </w:num>
  <w:num w:numId="23">
    <w:abstractNumId w:val="25"/>
  </w:num>
  <w:num w:numId="24">
    <w:abstractNumId w:val="28"/>
  </w:num>
  <w:num w:numId="25">
    <w:abstractNumId w:val="45"/>
  </w:num>
  <w:num w:numId="26">
    <w:abstractNumId w:val="35"/>
  </w:num>
  <w:num w:numId="27">
    <w:abstractNumId w:val="41"/>
  </w:num>
  <w:num w:numId="28">
    <w:abstractNumId w:val="42"/>
  </w:num>
  <w:num w:numId="29">
    <w:abstractNumId w:val="6"/>
  </w:num>
  <w:num w:numId="30">
    <w:abstractNumId w:val="29"/>
  </w:num>
  <w:num w:numId="31">
    <w:abstractNumId w:val="2"/>
  </w:num>
  <w:num w:numId="32">
    <w:abstractNumId w:val="17"/>
  </w:num>
  <w:num w:numId="33">
    <w:abstractNumId w:val="34"/>
  </w:num>
  <w:num w:numId="34">
    <w:abstractNumId w:val="23"/>
  </w:num>
  <w:num w:numId="35">
    <w:abstractNumId w:val="11"/>
  </w:num>
  <w:num w:numId="36">
    <w:abstractNumId w:val="9"/>
  </w:num>
  <w:num w:numId="37">
    <w:abstractNumId w:val="40"/>
  </w:num>
  <w:num w:numId="38">
    <w:abstractNumId w:val="16"/>
  </w:num>
  <w:num w:numId="39">
    <w:abstractNumId w:val="44"/>
  </w:num>
  <w:num w:numId="40">
    <w:abstractNumId w:val="5"/>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7"/>
  </w:num>
  <w:num w:numId="44">
    <w:abstractNumId w:val="8"/>
  </w:num>
  <w:num w:numId="45">
    <w:abstractNumId w:val="19"/>
  </w:num>
  <w:num w:numId="46">
    <w:abstractNumId w:val="32"/>
  </w:num>
  <w:num w:numId="47">
    <w:abstractNumId w:val="30"/>
  </w:num>
  <w:num w:numId="4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61D59"/>
    <w:rsid w:val="00067911"/>
    <w:rsid w:val="000726A8"/>
    <w:rsid w:val="00072E94"/>
    <w:rsid w:val="000772DC"/>
    <w:rsid w:val="00090193"/>
    <w:rsid w:val="000B2B1D"/>
    <w:rsid w:val="000B6961"/>
    <w:rsid w:val="000C0287"/>
    <w:rsid w:val="000C20C5"/>
    <w:rsid w:val="000C46BF"/>
    <w:rsid w:val="000C4A8E"/>
    <w:rsid w:val="000C5F12"/>
    <w:rsid w:val="000E1469"/>
    <w:rsid w:val="000E30BF"/>
    <w:rsid w:val="000F0708"/>
    <w:rsid w:val="000F2824"/>
    <w:rsid w:val="000F6AE7"/>
    <w:rsid w:val="00100F46"/>
    <w:rsid w:val="00101EBF"/>
    <w:rsid w:val="00106665"/>
    <w:rsid w:val="00115FE3"/>
    <w:rsid w:val="001235A5"/>
    <w:rsid w:val="00124EB6"/>
    <w:rsid w:val="001372E8"/>
    <w:rsid w:val="0014307E"/>
    <w:rsid w:val="00151FE9"/>
    <w:rsid w:val="00161301"/>
    <w:rsid w:val="00164AED"/>
    <w:rsid w:val="0017018D"/>
    <w:rsid w:val="00172B21"/>
    <w:rsid w:val="0017452E"/>
    <w:rsid w:val="00183361"/>
    <w:rsid w:val="00183C62"/>
    <w:rsid w:val="00192A1D"/>
    <w:rsid w:val="001957AD"/>
    <w:rsid w:val="0019729A"/>
    <w:rsid w:val="001A5C21"/>
    <w:rsid w:val="001B2442"/>
    <w:rsid w:val="001B5A9D"/>
    <w:rsid w:val="001B6357"/>
    <w:rsid w:val="001B64CA"/>
    <w:rsid w:val="001C3FF6"/>
    <w:rsid w:val="001D38EB"/>
    <w:rsid w:val="001D3C74"/>
    <w:rsid w:val="001E16FD"/>
    <w:rsid w:val="001E216C"/>
    <w:rsid w:val="001E2FED"/>
    <w:rsid w:val="001E5AFE"/>
    <w:rsid w:val="001F5876"/>
    <w:rsid w:val="001F6236"/>
    <w:rsid w:val="002023FE"/>
    <w:rsid w:val="00207DA5"/>
    <w:rsid w:val="00245781"/>
    <w:rsid w:val="002553B4"/>
    <w:rsid w:val="00262FC3"/>
    <w:rsid w:val="00276A07"/>
    <w:rsid w:val="0028065B"/>
    <w:rsid w:val="002861A9"/>
    <w:rsid w:val="00286B6D"/>
    <w:rsid w:val="002924D2"/>
    <w:rsid w:val="00293525"/>
    <w:rsid w:val="002935F8"/>
    <w:rsid w:val="002B0DDD"/>
    <w:rsid w:val="002B59EF"/>
    <w:rsid w:val="002C0FD4"/>
    <w:rsid w:val="002C478D"/>
    <w:rsid w:val="002D160B"/>
    <w:rsid w:val="002D263D"/>
    <w:rsid w:val="002D6614"/>
    <w:rsid w:val="002D71A0"/>
    <w:rsid w:val="002E0FF8"/>
    <w:rsid w:val="002E4157"/>
    <w:rsid w:val="002E6476"/>
    <w:rsid w:val="00325A99"/>
    <w:rsid w:val="0033205D"/>
    <w:rsid w:val="00341942"/>
    <w:rsid w:val="0034475B"/>
    <w:rsid w:val="003455B3"/>
    <w:rsid w:val="0035540F"/>
    <w:rsid w:val="00360D53"/>
    <w:rsid w:val="0036210B"/>
    <w:rsid w:val="00365BA9"/>
    <w:rsid w:val="00365CE4"/>
    <w:rsid w:val="003708C7"/>
    <w:rsid w:val="0037201C"/>
    <w:rsid w:val="00375EC8"/>
    <w:rsid w:val="003874B3"/>
    <w:rsid w:val="00393FEA"/>
    <w:rsid w:val="00397999"/>
    <w:rsid w:val="003A3398"/>
    <w:rsid w:val="003A3D8B"/>
    <w:rsid w:val="003A5E26"/>
    <w:rsid w:val="003A6381"/>
    <w:rsid w:val="003B6115"/>
    <w:rsid w:val="003C35F7"/>
    <w:rsid w:val="003C4A1A"/>
    <w:rsid w:val="003D0473"/>
    <w:rsid w:val="003D4A05"/>
    <w:rsid w:val="003D50BB"/>
    <w:rsid w:val="003F17A5"/>
    <w:rsid w:val="003F3D9B"/>
    <w:rsid w:val="003F40C6"/>
    <w:rsid w:val="0040555F"/>
    <w:rsid w:val="004118BF"/>
    <w:rsid w:val="00416DEC"/>
    <w:rsid w:val="004273B4"/>
    <w:rsid w:val="0044008B"/>
    <w:rsid w:val="00441261"/>
    <w:rsid w:val="004455E1"/>
    <w:rsid w:val="00452212"/>
    <w:rsid w:val="004625C8"/>
    <w:rsid w:val="00462E49"/>
    <w:rsid w:val="0046310A"/>
    <w:rsid w:val="004657A2"/>
    <w:rsid w:val="004702F9"/>
    <w:rsid w:val="00470E27"/>
    <w:rsid w:val="0048093F"/>
    <w:rsid w:val="004824D5"/>
    <w:rsid w:val="00485407"/>
    <w:rsid w:val="004900B0"/>
    <w:rsid w:val="004A48CD"/>
    <w:rsid w:val="004A752D"/>
    <w:rsid w:val="004B1350"/>
    <w:rsid w:val="004B6889"/>
    <w:rsid w:val="004B6C81"/>
    <w:rsid w:val="004C672E"/>
    <w:rsid w:val="004D257E"/>
    <w:rsid w:val="004D7FE0"/>
    <w:rsid w:val="004E58AB"/>
    <w:rsid w:val="004F0CF5"/>
    <w:rsid w:val="004F430F"/>
    <w:rsid w:val="00504A5D"/>
    <w:rsid w:val="005053EA"/>
    <w:rsid w:val="00505623"/>
    <w:rsid w:val="00511208"/>
    <w:rsid w:val="005164F1"/>
    <w:rsid w:val="0052140E"/>
    <w:rsid w:val="0052442D"/>
    <w:rsid w:val="00526741"/>
    <w:rsid w:val="0053186E"/>
    <w:rsid w:val="00544261"/>
    <w:rsid w:val="00545DAE"/>
    <w:rsid w:val="005514B5"/>
    <w:rsid w:val="00553EB5"/>
    <w:rsid w:val="00556934"/>
    <w:rsid w:val="00561F7F"/>
    <w:rsid w:val="00566B18"/>
    <w:rsid w:val="00571275"/>
    <w:rsid w:val="005744A9"/>
    <w:rsid w:val="00575C70"/>
    <w:rsid w:val="00576A1A"/>
    <w:rsid w:val="005838EA"/>
    <w:rsid w:val="00585773"/>
    <w:rsid w:val="005B1B57"/>
    <w:rsid w:val="005B3111"/>
    <w:rsid w:val="005C1FB6"/>
    <w:rsid w:val="005C41A1"/>
    <w:rsid w:val="005C579E"/>
    <w:rsid w:val="005C77FC"/>
    <w:rsid w:val="005D04D6"/>
    <w:rsid w:val="005D1F07"/>
    <w:rsid w:val="005D2D6E"/>
    <w:rsid w:val="005D316F"/>
    <w:rsid w:val="005E000D"/>
    <w:rsid w:val="005F477A"/>
    <w:rsid w:val="00603193"/>
    <w:rsid w:val="00614513"/>
    <w:rsid w:val="00622ED8"/>
    <w:rsid w:val="006249FD"/>
    <w:rsid w:val="0063517D"/>
    <w:rsid w:val="00666BD1"/>
    <w:rsid w:val="00670C20"/>
    <w:rsid w:val="00672D94"/>
    <w:rsid w:val="00676F84"/>
    <w:rsid w:val="006804CC"/>
    <w:rsid w:val="006840DD"/>
    <w:rsid w:val="0068782F"/>
    <w:rsid w:val="006906C3"/>
    <w:rsid w:val="00693FA2"/>
    <w:rsid w:val="006A286A"/>
    <w:rsid w:val="006A4217"/>
    <w:rsid w:val="006B1667"/>
    <w:rsid w:val="006B21CA"/>
    <w:rsid w:val="006C3B63"/>
    <w:rsid w:val="006C51BB"/>
    <w:rsid w:val="006C58F6"/>
    <w:rsid w:val="006C7AB7"/>
    <w:rsid w:val="006E13D7"/>
    <w:rsid w:val="006F6A4C"/>
    <w:rsid w:val="006F710A"/>
    <w:rsid w:val="00703D09"/>
    <w:rsid w:val="00711AF1"/>
    <w:rsid w:val="0071316F"/>
    <w:rsid w:val="00714F6D"/>
    <w:rsid w:val="00725808"/>
    <w:rsid w:val="00730B9F"/>
    <w:rsid w:val="00737C08"/>
    <w:rsid w:val="007450C9"/>
    <w:rsid w:val="007465C4"/>
    <w:rsid w:val="0075366D"/>
    <w:rsid w:val="00762AD2"/>
    <w:rsid w:val="00766FA0"/>
    <w:rsid w:val="00770C90"/>
    <w:rsid w:val="0078136E"/>
    <w:rsid w:val="0078142D"/>
    <w:rsid w:val="0078215A"/>
    <w:rsid w:val="007827FB"/>
    <w:rsid w:val="00785910"/>
    <w:rsid w:val="00787F4C"/>
    <w:rsid w:val="007909B1"/>
    <w:rsid w:val="007A27EC"/>
    <w:rsid w:val="007A6612"/>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E79"/>
    <w:rsid w:val="00866791"/>
    <w:rsid w:val="00896408"/>
    <w:rsid w:val="008A0342"/>
    <w:rsid w:val="008A42A7"/>
    <w:rsid w:val="008B0E04"/>
    <w:rsid w:val="008C24F5"/>
    <w:rsid w:val="008D193F"/>
    <w:rsid w:val="008D493B"/>
    <w:rsid w:val="008D69A9"/>
    <w:rsid w:val="008F3207"/>
    <w:rsid w:val="008F4513"/>
    <w:rsid w:val="008F640D"/>
    <w:rsid w:val="00900A98"/>
    <w:rsid w:val="00901258"/>
    <w:rsid w:val="00907875"/>
    <w:rsid w:val="00922517"/>
    <w:rsid w:val="00922798"/>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6888"/>
    <w:rsid w:val="009C705D"/>
    <w:rsid w:val="009E25DD"/>
    <w:rsid w:val="009E46CD"/>
    <w:rsid w:val="009F7D8C"/>
    <w:rsid w:val="00A27EE0"/>
    <w:rsid w:val="00A3315E"/>
    <w:rsid w:val="00A33CD1"/>
    <w:rsid w:val="00A41DF6"/>
    <w:rsid w:val="00A42A50"/>
    <w:rsid w:val="00A42CFD"/>
    <w:rsid w:val="00A5442C"/>
    <w:rsid w:val="00A555EA"/>
    <w:rsid w:val="00A567A6"/>
    <w:rsid w:val="00A57F10"/>
    <w:rsid w:val="00A6097D"/>
    <w:rsid w:val="00A6549D"/>
    <w:rsid w:val="00A70B1A"/>
    <w:rsid w:val="00A7666E"/>
    <w:rsid w:val="00A84885"/>
    <w:rsid w:val="00A85FCC"/>
    <w:rsid w:val="00A86FE6"/>
    <w:rsid w:val="00A92581"/>
    <w:rsid w:val="00A95743"/>
    <w:rsid w:val="00AA50B6"/>
    <w:rsid w:val="00AA77B0"/>
    <w:rsid w:val="00AB1C33"/>
    <w:rsid w:val="00AB2388"/>
    <w:rsid w:val="00AB353D"/>
    <w:rsid w:val="00AB5904"/>
    <w:rsid w:val="00AC5D2E"/>
    <w:rsid w:val="00AC5E23"/>
    <w:rsid w:val="00AC643E"/>
    <w:rsid w:val="00AD22CF"/>
    <w:rsid w:val="00AE2E45"/>
    <w:rsid w:val="00B02645"/>
    <w:rsid w:val="00B02AA0"/>
    <w:rsid w:val="00B03ED8"/>
    <w:rsid w:val="00B04926"/>
    <w:rsid w:val="00B04A30"/>
    <w:rsid w:val="00B06102"/>
    <w:rsid w:val="00B14E92"/>
    <w:rsid w:val="00B1604D"/>
    <w:rsid w:val="00B17737"/>
    <w:rsid w:val="00B213F1"/>
    <w:rsid w:val="00B273DA"/>
    <w:rsid w:val="00B27481"/>
    <w:rsid w:val="00B30D5D"/>
    <w:rsid w:val="00B32A5A"/>
    <w:rsid w:val="00B368D9"/>
    <w:rsid w:val="00B45F1D"/>
    <w:rsid w:val="00B5007A"/>
    <w:rsid w:val="00B53811"/>
    <w:rsid w:val="00B64FED"/>
    <w:rsid w:val="00B715F8"/>
    <w:rsid w:val="00B7205F"/>
    <w:rsid w:val="00B72FED"/>
    <w:rsid w:val="00B7629B"/>
    <w:rsid w:val="00B92702"/>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F6ABA"/>
    <w:rsid w:val="00C0511E"/>
    <w:rsid w:val="00C107A1"/>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16A0F"/>
    <w:rsid w:val="00D213F0"/>
    <w:rsid w:val="00D24DDC"/>
    <w:rsid w:val="00D26016"/>
    <w:rsid w:val="00D263EA"/>
    <w:rsid w:val="00D26541"/>
    <w:rsid w:val="00D32AC8"/>
    <w:rsid w:val="00D44A43"/>
    <w:rsid w:val="00D452D3"/>
    <w:rsid w:val="00D54895"/>
    <w:rsid w:val="00D54FDE"/>
    <w:rsid w:val="00D55129"/>
    <w:rsid w:val="00D57175"/>
    <w:rsid w:val="00D577BB"/>
    <w:rsid w:val="00D66AFD"/>
    <w:rsid w:val="00D677A2"/>
    <w:rsid w:val="00D722F6"/>
    <w:rsid w:val="00D82985"/>
    <w:rsid w:val="00D85498"/>
    <w:rsid w:val="00D923BE"/>
    <w:rsid w:val="00D92AB5"/>
    <w:rsid w:val="00DA0503"/>
    <w:rsid w:val="00DA2733"/>
    <w:rsid w:val="00DB075A"/>
    <w:rsid w:val="00DB14C6"/>
    <w:rsid w:val="00DB1DB0"/>
    <w:rsid w:val="00DB5084"/>
    <w:rsid w:val="00DB6ED2"/>
    <w:rsid w:val="00DC178E"/>
    <w:rsid w:val="00DC2E6E"/>
    <w:rsid w:val="00DD11CB"/>
    <w:rsid w:val="00DD5ECB"/>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51E1F"/>
    <w:rsid w:val="00E53B55"/>
    <w:rsid w:val="00E55D5E"/>
    <w:rsid w:val="00E56839"/>
    <w:rsid w:val="00E658DA"/>
    <w:rsid w:val="00E65D57"/>
    <w:rsid w:val="00E708B5"/>
    <w:rsid w:val="00E71E86"/>
    <w:rsid w:val="00E73C4A"/>
    <w:rsid w:val="00E76FBE"/>
    <w:rsid w:val="00E86352"/>
    <w:rsid w:val="00E908CC"/>
    <w:rsid w:val="00E9445D"/>
    <w:rsid w:val="00EA269B"/>
    <w:rsid w:val="00EA26DD"/>
    <w:rsid w:val="00EA5483"/>
    <w:rsid w:val="00EB1200"/>
    <w:rsid w:val="00EB26FB"/>
    <w:rsid w:val="00EB2E7D"/>
    <w:rsid w:val="00EC2F3D"/>
    <w:rsid w:val="00EC7763"/>
    <w:rsid w:val="00ED3FD8"/>
    <w:rsid w:val="00EE0DF0"/>
    <w:rsid w:val="00EE2EAD"/>
    <w:rsid w:val="00EE7D40"/>
    <w:rsid w:val="00EF1292"/>
    <w:rsid w:val="00EF17E4"/>
    <w:rsid w:val="00EF5E5C"/>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A2D6F"/>
    <w:rsid w:val="00FC7919"/>
    <w:rsid w:val="00FD0EBD"/>
    <w:rsid w:val="00FD5026"/>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1702"/>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545DAE"/>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8"/>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28"/>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3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39"/>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character" w:customStyle="1" w:styleId="Heading5Char">
    <w:name w:val="Heading 5 Char"/>
    <w:basedOn w:val="DefaultParagraphFont"/>
    <w:link w:val="Heading5"/>
    <w:uiPriority w:val="9"/>
    <w:semiHidden/>
    <w:rsid w:val="00545DAE"/>
    <w:rPr>
      <w:rFonts w:asciiTheme="majorHAnsi" w:eastAsiaTheme="majorEastAsia" w:hAnsiTheme="majorHAnsi" w:cstheme="majorBidi"/>
      <w:color w:val="365F91" w:themeColor="accent1" w:themeShade="BF"/>
      <w:sz w:val="20"/>
      <w:szCs w:val="24"/>
    </w:rPr>
  </w:style>
  <w:style w:type="character" w:customStyle="1" w:styleId="B1Char">
    <w:name w:val="B1 Char"/>
    <w:locked/>
    <w:rsid w:val="0046310A"/>
    <w:rPr>
      <w:rFonts w:ascii="Times New Roman" w:hAnsi="Times New Roman"/>
      <w:lang w:val="en-GB"/>
    </w:rPr>
  </w:style>
  <w:style w:type="paragraph" w:customStyle="1" w:styleId="th0">
    <w:name w:val="th"/>
    <w:basedOn w:val="Normal"/>
    <w:rsid w:val="007827FB"/>
    <w:rPr>
      <w:rFonts w:ascii="Calibri" w:eastAsiaTheme="minorHAnsi" w:hAnsi="Calibri" w:cs="Calibri"/>
      <w:sz w:val="22"/>
      <w:szCs w:val="22"/>
      <w:lang w:val="sv-SE" w:eastAsia="sv-SE"/>
    </w:rPr>
  </w:style>
  <w:style w:type="paragraph" w:customStyle="1" w:styleId="tah0">
    <w:name w:val="tah"/>
    <w:basedOn w:val="Normal"/>
    <w:rsid w:val="007827FB"/>
    <w:rPr>
      <w:rFonts w:ascii="Calibri" w:eastAsiaTheme="minorHAnsi" w:hAnsi="Calibri" w:cs="Calibri"/>
      <w:sz w:val="22"/>
      <w:szCs w:val="22"/>
      <w:lang w:val="sv-SE" w:eastAsia="sv-SE"/>
    </w:rPr>
  </w:style>
  <w:style w:type="paragraph" w:customStyle="1" w:styleId="tac0">
    <w:name w:val="tac"/>
    <w:basedOn w:val="Normal"/>
    <w:rsid w:val="007827FB"/>
    <w:rPr>
      <w:rFonts w:ascii="Calibri" w:eastAsiaTheme="minorHAnsi" w:hAnsi="Calibri" w:cs="Calibri"/>
      <w:sz w:val="22"/>
      <w:szCs w:val="22"/>
      <w:lang w:val="sv-SE" w:eastAsia="sv-SE"/>
    </w:rPr>
  </w:style>
  <w:style w:type="paragraph" w:customStyle="1" w:styleId="tan0">
    <w:name w:val="tan"/>
    <w:basedOn w:val="Normal"/>
    <w:rsid w:val="007827FB"/>
    <w:rPr>
      <w:rFonts w:ascii="Calibri" w:eastAsiaTheme="minorHAnsi" w:hAnsi="Calibri" w:cs="Calibri"/>
      <w:sz w:val="22"/>
      <w:szCs w:val="22"/>
      <w:lang w:val="sv-SE" w:eastAsia="sv-SE"/>
    </w:rPr>
  </w:style>
  <w:style w:type="paragraph" w:customStyle="1" w:styleId="b11">
    <w:name w:val="b1"/>
    <w:basedOn w:val="Normal"/>
    <w:rsid w:val="007827FB"/>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3528978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46085448">
      <w:bodyDiv w:val="1"/>
      <w:marLeft w:val="0"/>
      <w:marRight w:val="0"/>
      <w:marTop w:val="0"/>
      <w:marBottom w:val="0"/>
      <w:divBdr>
        <w:top w:val="none" w:sz="0" w:space="0" w:color="auto"/>
        <w:left w:val="none" w:sz="0" w:space="0" w:color="auto"/>
        <w:bottom w:val="none" w:sz="0" w:space="0" w:color="auto"/>
        <w:right w:val="none" w:sz="0" w:space="0" w:color="auto"/>
      </w:divBdr>
    </w:div>
    <w:div w:id="697781440">
      <w:bodyDiv w:val="1"/>
      <w:marLeft w:val="0"/>
      <w:marRight w:val="0"/>
      <w:marTop w:val="0"/>
      <w:marBottom w:val="0"/>
      <w:divBdr>
        <w:top w:val="none" w:sz="0" w:space="0" w:color="auto"/>
        <w:left w:val="none" w:sz="0" w:space="0" w:color="auto"/>
        <w:bottom w:val="none" w:sz="0" w:space="0" w:color="auto"/>
        <w:right w:val="none" w:sz="0" w:space="0" w:color="auto"/>
      </w:divBdr>
    </w:div>
    <w:div w:id="960266029">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3.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549B3-C0AC-4082-9DCD-81672517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2458</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2018-08-22T12:31:00Z</dcterms:created>
  <dcterms:modified xsi:type="dcterms:W3CDTF">2018-08-22T12:31:00Z</dcterms:modified>
</cp:coreProperties>
</file>